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C/22036/2010 vom 20. Februar 2015</w:t>
      </w:r>
    </w:p>
    <w:p>
      <w:r>
        <w:t>GE Cour de justice, 2015-02-20, FR</w:t>
      </w:r>
    </w:p>
    <w:p>
      <w:r>
        <w:rPr>
          <w:b/>
        </w:rPr>
        <w:t xml:space="preserve">Quelle: </w:t>
      </w:r>
      <w:r>
        <w:t>https://mcp.opencaselaw.ch/entscheid/ge_gerichte_C_22036_2010</w:t>
      </w:r>
    </w:p>
    <w:p>
      <w:r>
        <w:t>FR: GE_GERICHTE C/22036/2010 du 20 février 2015</w:t>
      </w:r>
    </w:p>
    <w:p>
      <w:r>
        <w:t>IT: GE_GERICHTE C/22036/2010 del 20 febbraio 2015</w:t>
      </w:r>
    </w:p>
    <w:p>
      <w:pPr>
        <w:pStyle w:val="Heading2"/>
      </w:pPr>
      <w:r>
        <w:t>Regeste</w:t>
      </w:r>
    </w:p>
    <w:p>
      <w:r>
        <w:t>OUVRAGE(CONTRAT D'ENTREPRISE); VÉRIFICATION DE LA CHOSE; PRINCIPE DE LA CONFIANCE(INTERPRÉTATION DU CONTRAT); DÉFAUT DE LA CHOSE; ACCORD DE VOLONTÉS; DROIT À LA RÉDUCTION DU PRIX | CO.18; CO.367; CO.368; SIA.118</w:t>
      </w:r>
    </w:p>
    <w:p>
      <w:pPr>
        <w:pStyle w:val="Heading2"/>
      </w:pPr>
      <w:r>
        <w:t>Erwägungen</w:t>
      </w:r>
    </w:p>
    <w:p>
      <w:r>
        <w:rPr>
          <w:b/>
        </w:rPr>
        <w:t>E. 1.1</w:t>
      </w:r>
    </w:p>
    <w:p>
      <w:r>
        <w:t>Aux termes de l'art. 405 al. 1 du Code de procédure civile entré en vigueur le 1 er janvier 2011 (CPC; RS 272), les recours sont régis par le droit en vigueur au moment de la communication de la décision entreprise. En l'espèce, le jugement querellé a été notifié aux parties le 30 mai 2014, de sorte que le nouveau droit de procédure est applicable en seconde instance.</w:t>
      </w:r>
    </w:p>
    <w:p>
      <w:r>
        <w:rPr>
          <w:b/>
        </w:rPr>
        <w:t>E. 1.2</w:t>
      </w:r>
    </w:p>
    <w:p>
      <w:r>
        <w:t>Le jugement querellé constitue une décision finale (art. 308 al. 1 let. a CPC) rendue dans une affaire patrimoniale dont la valeur litigieuse est supérieure à 10'000 fr. (art. 308 al. 2 CPC). La voie de l'appel est ainsi ouverte. Interjeté pour le surplus auprès de l'autorité compétente (art. 120 al. 1 let. a LOJ), par une partie qui y a intérêt (art. 59 al. 2 let. a CPC), dans le délai utile de 30 jours (art. 311 al. 1 CPC) et selon la forme prescrite par la loi (art. 130, 131 et 311 CPC), l'appel est recevable.</w:t>
      </w:r>
    </w:p>
    <w:p>
      <w:r>
        <w:rPr>
          <w:b/>
        </w:rPr>
        <w:t>E. 1.3</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w:t>
      </w:r>
    </w:p>
    <w:p>
      <w:r>
        <w:t>La qualification juridique du contrat conclu entre les parties, à savoir un contrat d'entreprise soumis aux art. 363 ss CO et à la norme SIA 118 qu'il intègre, n'est à juste titre pas contestée par les parties.</w:t>
      </w:r>
    </w:p>
    <w:p>
      <w:r>
        <w:rPr>
          <w:b/>
        </w:rPr>
        <w:t>E. 3</w:t>
      </w:r>
    </w:p>
    <w:p>
      <w:r>
        <w:t>L'appelante fait grief au premier juge d'avoir établi les faits de manière inexacte. Selon lui, le Tribunal aurait retenu à tort que les parties n'avaient pas une volonté commune de décrire la maison à construire en surfaces brutes. D'autre part, en ce qui concerne plus particulièrement la volonté réelle des intimés, ces derniers ne pouvaient de bonne foi s'attendre à une indication de surfaces nettes. L'appelante invoque sur ce point une pratique qui serait établie en la matière, selon laquelle la référence à des surfaces brutes est d'usage général dans le cadre de la commercialisation de villas à construire ainsi que dans les annonces publicitaires. Selon elle, la surface promise de la villa était de 219 m² bruts, de sorte que l'ouvrage avait été livré conformément au contrat et ne souffrait dès lors d'aucun défaut. 3.1.1 La notion de défaut est régie par l'art. 166 al. 1 et 2 SIA 118, dont la teneur est similaire à celle de l'art. 368 CO. L'ouvrage est entaché d'un défaut au sens de ces dernières dispositions lorsqu'il ne possède pas les qualités convenues - expressément ou tacitement - par les parties, ou les qualités auxquelles le maître pouvait s'attendre d'après les règles de la bonne foi. S'agissant du premier type de défauts, il peut y avoir défaut au sens juridique, alors même qu'il n'y a pas défaut au sens technique, et il ne faut pas se limiter à ce qui a été expressément formulé, mais il convient de rechercher, selon les règles générales d'interprétation, ce que les parties ont voulu dans chaque cas concret (arrêt du Tribunal fédéral 4A_460/2009 du 4 décembre 2009 consid. 3.1.1 et les références citées). Pour ce faire,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131 III 606 consid. 4.1; 130 III 417 consid. 3b). Ainsi, le principe de la confiance permet d'imputer à une partie le sens objectif de sa déclaration ou de son comportement, même si celui-ci ne correspond pas à sa volonté intime (ATF 130 III 417 consid. 3.2; 129 III 118 consid. 2.5). 3.1.2 En tant que l'art. 367 CO est de droit dispositif, il est loisible aux parties de prévoir des dérogations au système légal (Chaix, Commentaire romand, CO I, n. 30 ad art. 367 CO; Zindel/Pulver, Commentaire bâlois, n. 29 ad art. 367 CO; Gauch, Le contrat d'entreprise, adaptation française par Benoît Carron, Zurich 1999, n. 2467 ss p. 677 ss). Ainsi, la norme SIA 118, applicable en l'espèce par intégration au contrat d'entreprise, prévoit en son art. 172 que le délai de garantie - qui commence à courir à partir de la réception de l'ouvrage - est de deux ans. L'art. 173 al. 1 précise que, pendant la durée du délai de garantie (délai de dénonciation des défauts), le maître a le droit, en dérogation aux dispositions légales (art. 367 et 370 CO), de faire valoir en tout temps les défauts, de quelque nature qu'ils soient. Lorsque le contrat est soumis à la norme SIA 118, le maître n'a ainsi pas à respecter l'obligation légale d'avis immédiat tant qu'il agit à l'intérieur du délai conventionnel de deux ans; sous cette réserve, la question de savoir quand le maître a eu connaissance du défaut est sans pertinence (arrêt du Tribunal fédéral 4C.346/2003 du 26 octobre 2004 consid. 4.1.1; Gauch, op. cit., n. 2683 p. 728 s). 3.2.1 En l'espèce, la Cour relèvera à titre préalable que les intimés ont agi à l'intérieur du délai conventionnel de deux ans pour aviser l'appelante des défauts faisant l'objet de la présente procédure. En effet, l'ouvrage a été livré le 9 octobre 2008 et l'avis des défauts concernant les peintures et crépis, le carrelage, les garde-corps et le chemin goudronné a été effectué le 13 octobre 2008, suivi d'une mise en demeure du 23 mars 2009. Quant au problème lié à la surface, les intimés l'ont signalé par courrier du 1 er octobre 2009. Compte tenu de l'application du régime conventionnel des normes SIA, les intimés n'étaient pas forclos en octobre 2009. Par conséquent, l'avis des défauts a été donné en temps utile, de sorte que les intimés peuvent se prévaloir des droits que leur confère la garantie des défauts au sens des art. 165 ss des normes SIA. 3.2.2 Le contrat d'entreprise portant sur la construction de la villa des intimés a donné lieu à des interprétations différentes de la part des parties quant à la surface attendue. Alors que l'appelante avait en vue une surface brute de 219 m², les intimés avaient en revanche compris des documents qui leur avaient été soumis avant la signature du contrat, soit la convention de réservation et le dossier de vente, que les surfaces représentaient l'espace dont ils disposeraient une fois la construction terminée. Ces documents, de même que les annonces publicitaires de l'époque, ne précisaient pas la nature de la surface proposée. Contrairement à ce que soutient l'appelante, il n'est pas établi que les explications relatives à la surface aient été données aux intimés. S'il ressort des témoignages que les courtiers immobiliers, le coordinateur des travaux ou l'architecte informent en principe les clients de cette problématique, aucun de ces intervenants n'a pu confirmer que ces informations avaient été in casu données aux intimés. Au contraire, l'architecte a confirmé ne jamais avoir évoqué la question des surfaces avec les intimés. Le coordinateur des travaux ignorait si les plans d'exécution comportaient des surfaces brutes ou nettes et ne s'était pas penché sur la question, de sorte qu'il n'était pas en mesure d'informer utilement les intimés. Quant à la courtière immobilière, elle n'a pas souvenir de s'être entretenue personnellement avec les intimés. Les témoins entendus reconnaissent toutefois que les distinctions entre les différents types de surfaces ne sont pas toujours aisées et peuvent par conséquent échapper aux clients. Profanes en la matière et en l'absence d'explications, les intimés n'imaginaient dès lors pas que la surface puisse inclure les murs intérieurs et extérieurs. Selon les déclarations de témoins, ils avaient d'ailleurs été surpris en voyant ultérieurement les plans de mise à l'enquête, qui mentionnaient des surfaces plus petites car exprimées en valeurs nettes. En ce qui concerne les plans d'exécution, ceux-ci ont été établis et signés plusieurs mois après la conclusion du contrat d'entreprise, de sorte qu'on ne peut en déduire une quelconque intention des intimés au moment de la signature du contrat. De plus, le fait que des confusions similaires se soient produites avec d'autres acquéreurs du lotissement en question dénote une communication et une présentation peu claires du promoteur et de ses sous-traitants, propice à la confusion. Au vu de ce qui précède, les intimés s'attendaient manifestement à des surfaces nettes. L'appelante invoque la mauvaise foi des intimés , motif pris que ces derniers auraient prétendu avoir été induits en erreur par la mention - pourtant inexistante en 2006 - de surfaces "habitables" figurant dans les annonces parues, alors même qu'il est d'usage d'indiquer des surfaces brutes dans ce type d'annonces. A cet égard, force est de constater à la lecture de leurs écritures et de leurs déclarations que les intimés se réfèrent principalement aux documents qui leur avaient été remis par la régie préalablement au contrat d'entreprise et pas uniquement aux annonces publicitaires. Par ailleurs, si l'appelante a démontré que certaines régies décrivent leurs biens immobiliers en surfaces brutes en faisant référence à des surfaces "habitables" ou "utiles", cela ne signifie pas encore que cette pratique, quelque peu confuse, était ou devait être connue des intimés. A cet égard, il sied de relever que de l'avis de l'architecte la notion de surface habitable se rapproche de la surface nette. Par ailleurs, une surface "habitable" ou "utile" semble plutôt faire référence, dans le langage courant, à la surface réellement utilisable ou aménageable et non à la surface brute. L'appelante soulève encore le fait que les intimés ont attendu plus d'un an après la livraison de l'ouvrage avant d'invoquer le problème de surface, ce qui dénoterait également une mauvaise foi de leur part. Que les intimés aient communiqué à l'appelante que la surface ne correspondait pas à la surface indiquée dans le contrat plusieurs mois après leur emménagement ne démontre pas pour autant qu'ils savaient au moment de la conclusion du contrat que les surfaces devaient être comprises en surfaces brutes et, partant, qu'ils font preuve de mauvaise foi en intentant la présente demande en paiement. Il ressort de la procédure que les intimés ont au contraire vérifié les faits avant de les avancer en ordonnant une expertise privée en novembre 2008 et en consultant les plans de l'autorisation de construire à la commune début 2009, avant d'en faire part à l'appelante par courrier du 1 er octobre 2009. Ce délai, conforme à la norme SIA, ne peut être qualifié d'abusif et aucune mauvaise foi ne peut être reprochée aux intimés, étant précisé que durant ce laps de temps ces derniers pris conseils auprès d'un avocat, lequel s'est constitué et a rédigé ledit courrier. Dans ce contexte, la mauvaise foi des intimés ne saurait être retenue. Dès lors, en l'absence d'une réelle et commune volonté des parties, c'est à juste titre que le premier juge a procédé à l'interprétation objective des documents et déclarations relatifs à la surface de l'ouvrage, conformément à l'art. 18 CO. 3.2.3 La convention de réservation, le contrat d'entreprise et les plans de vente mentionnaient uniquement les surfaces sans autre précision et ne contenaient pas de mensurations (cotes), de sorte que les intimés ne pouvaient pas comprendre de ces éléments que les murs viendraient en déduction des surfaces exprimées. Certes, le contrat d'entreprise renvoyait au dossier de construction, lequel contenait les plans avec les surfaces nettes. Toutefois, ces plans n'avaient jamais été soumis aux intimés, mais simplement tenus à leur disposition. En lieu et place, l'appelante leur avait fourni d'autres plans (les plans de masse) similaires mais qui exprimaient sans le dire des surfaces brutes. En outre, les plans de masse ne comprenaient aucune cote qui aurait pu leur permettre de réaliser que les surfaces des pièces se verraient diminuées. Dans le cadre de l'affaire P______, le Tribunal fédéral a considéré que la seule mention de la superficie d'une pièce, sans autre mensuration, donnait à penser qu'il s'agissait d'une surface nette (arrêt du Tribunal fédéral 4A_227/2014 consid. 2.2.2). Quant au descriptif de construction, il sied tout d'abord de constater qu'il ne mentionnait pas expressément des surfaces nettes ou brutes mais des surfaces à carreler et à parqueter. Ces surfaces étaient au demeurant citées de manière discrète et éparse, en page 7, sous un chapitre relatif aux équipements. Ainsi, on ne pouvait exiger des intimés qu'ils comprennent de ce document que les surfaces de la villa étaient entendues en surfaces nettes, d'autant plus que les valeurs différaient de celles indiquées sur les plans de l'autorisation de construire. En ce qui concerne les plans d'exécution, établis près de six mois plus tard, ces documents prêtaient également à confusion dans la mesure où bien qu'ils mentionnaient le détail de chaque cote, ils indiquaient au milieu des pièces leur surface (sans autre indication) qui représentait une valeur ne correspondant pas à celle résultant de la multiplication des cotes à l'intérieur ou à l'extérieur des murs de chaque pièce. Au vu des nombreuses indications de valeurs qui y figuraient, il n'était pas aisé de pouvoir chiffrer la surface nette des pièces. Ainsi, on ne pouvait attendre des intimés, profanes en matière de constructions immobilières, qu'ils comprennent sans autres explications les plans d'exécution dans leurs détails et pouvaient légitimement penser que les valeurs indiquées en évidence représentaient la surface qu'ils auraient à disposition une fois la construction terminée. Les intimés n'avaient ainsi pas de raison de penser que les plans qui leur étaient soumis au moment de la conclusion du contrat d'entreprise différaient des plans d'exécution et de ceux déposés à la commune et encore moins que seuls ces derniers faisaient foi. L'appelante invoque en vain une pratique, selon laquelle les surfaces sont généralement exprimées en surfaces brutes. Bien que les employés de H______ aient confirmé ce procédé, cela ne signifie pas pour autant que cette pratique soit répandue dans le milieu et encore moins qu'elle devait être connue des intimés. De l'avis de l'expert judiciaire, il n'existait pas de règle en matière d'indication de surfaces brutes ou nettes. Dès lors, il convenait, pour une bonne compréhension, que les indications de surfaces mentionnées dans le dossier de vente correspondent à celles figurant au dossier de construction, ce qui n'était pas le cas en l'espèce. De plus, dans le cadre de l'affaire P______, le Tribunal fédéral a relevé qu'à dire d'expert, l'indication de surfaces brutes était prohibée par la pratique, précisément parce qu'elle était propice à la confusion, ce qui ne pouvait être ignoré d'un constructeur expérimenté (arrêt du Tribunal fédéral 4A_65/2012 du 21 mai 2012 consid. 10.3.4). Au vu de ce qui précède, c'est avec raison que le premier juge a considéré que les intimés pouvaient de bonne foi comprendre que la surface de la villa indiquée par l'appelante, en particulier dans le contrat d'entreprise, était de 309 m² nets au total (219 m² et 90 m²). Ainsi, l'ouvrage, qui selon l'expert dispose d'une surface nette totale, non contestée, de 249.05 m², ne possède pas les qualités auxquelles les intimés pouvaient s'attendre d'après les règles de la bonne foi et présente par conséquent un défaut, la conformité de l'ouvrage livré avec les plans d'autorisation de construire et d'exécution relevée par l'expert judiciaire n'étant pas déterminante dans l'interprétation du contrat.</w:t>
      </w:r>
    </w:p>
    <w:p>
      <w:r>
        <w:rPr>
          <w:b/>
        </w:rPr>
        <w:t>E. 4</w:t>
      </w:r>
    </w:p>
    <w:p>
      <w:r>
        <w:t>L'appelante conteste la moins-value de l'ouvrage et, partant, la réduction du prix allouée à ce titre aux intimés. Se référant à l'expertise judiciaire, elle soutient que ses parties adverses ne subissent aucun dommage puisque la construction d'une villa de 219 m² nets aurait engendré un surcoût de 125'000 fr. environ par rapport au prix payé par les intimés, compte tenu du coût de construction du m².</w:t>
      </w:r>
    </w:p>
    <w:p>
      <w:r>
        <w:rPr>
          <w:b/>
        </w:rPr>
        <w:t>E. 4.1</w:t>
      </w:r>
    </w:p>
    <w:p>
      <w:r>
        <w:t>Lorsque l'ouvrage est entaché d'un défaut, le maître peut réduire le prix en proportion de la moins-value (art. 368 al 2 CO). L'indication d'une surface déterminée constitue une qualité promise dont l'entrepreneur répond en vertu de l'art. 368 CO (arrêts du Tribunal fédéral 4A_227/2014 du 24 novembre 2014 consid. 3.1.1; 4A_65/2012 du 21 mai 2012 consid. 12.3 et 12.4). Pour calculer la réduction du prix "en proportion de la moins-value", la jurisprudence et la doctrine majoritaire ont adopté la méthode relative : la réduction du prix correspond au rapport existant entre la valeur objective de l'ouvrage non défectueux et la valeur de l'ouvrage effectivement livré (ATF 116 II 305 consid. 4a; 111 II 162 consid. 3a; 105 II 99 consid. 4a). Le choix de cette méthode vise à rétablir l'équilibre des prestations selon le principe qui régit les contrats synallagmatiques (ATF 85 II 192 p. 193). Son application stricte se heurte en pratique à la difficulté de fixer la valeur objective de l'ouvrage convenu (sans défaut) et la valeur objective de l'ouvrage effectivement livré (avec défaut). Pour éviter ces problèmes, la jurisprudence a d'abord posé comme présomption que la valeur de l'ouvrage qui aurait dû être livré est égale au prix convenu par les parties (ATF 111 II 162 consid. 3b p. 163). Facilitant encore l'action minutoire, le Tribunal fédéral a statué que le montant de la réduction du prix est présumé égal aux coûts de remise en état de l'ouvrage (ATF 116 II 305 consid. 4a p. 313 s.). Enfin, on doit conférer au juge un pouvoir d'appréciation des faits au sens de l'art. 42 al. 2 CO lorsque l'exactitude du montant de la réduction est difficile à établir (arrêt du Tribunal fédéral 4C.346/2003 du 26 octobre 2004, consid. 4.3.1; arrêt du Tribunal fédéral 4C.201/2000 du 12 juin 2001, consid. 5b).</w:t>
      </w:r>
    </w:p>
    <w:p>
      <w:r>
        <w:rPr>
          <w:b/>
        </w:rPr>
        <w:t>E. 4.2</w:t>
      </w:r>
    </w:p>
    <w:p>
      <w:r>
        <w:t>En l'espèce, les parties ont convenu d'un prix forfaitaire de 825'900 fr. pour une villa d'une superficie de 219 m² nets sur deux niveaux (rez-de-chaussée et 1 er étage) plus mezzanines, et d'une surface nette d'environ 90 m² au sous-sol. L'appelante relève elle-même qu'aux dires de l'expert, la construction d'une telle villa aurait engendré des coûts supplémentaires. Contrairement à ce que laisse supposer l'appelante, la moins-value ne disparaît pas parce que - par hypothèse, la valeur actuelle de la villa (y compris le terrain) dépasse l'investissement total des intimés. La valeur actuelle de la villa n'est pas pertinente, dès lors que la moins-value découle de ce que l'appelante a livré un ouvrage défectueux pour le prix convenu pour un ouvrage dénué de défauts. Comme l'a relevé le Tribunal fédéral dans l'arrêt 4A_65/2012 déjà cité, il n'est pas facile de chiffrer la moins-value objective d'une maison due à une différence de surface nette alors que l'estimation d'une villa est en principe liée à la valeur du terrain sur laquelle elle est construite et qu'ici, des contrats séparés ont été conclus pour l'achat du terrain et la construction de la villa. Il convient dès lors de se référer à la méthode dite relative, appliquée dans les procédures similaires et approuvée par le Tribunal fédéral. L'appelante, qui se limite à contester la moins-value dans son principe, ne remet pas en cause ce mode de calcul, utilisé à juste titre par le Tribunal. Dès lors, le premier juge a fait une application correcte du droit et de la jurisprudence sus-rappelée en fixant la moins-value à 167'580 fr. 60 et en condamnant l'appelante à payer ce montant aux intimés à titre de réparation du défaut. Le jugement sera dès lors confirmé sur ce point.</w:t>
      </w:r>
    </w:p>
    <w:p>
      <w:r>
        <w:rPr>
          <w:b/>
        </w:rPr>
        <w:t>E. 5</w:t>
      </w:r>
    </w:p>
    <w:p>
      <w:r>
        <w:t>Dans un dernier grief, l'appelante conteste les montants alloués aux intimés en raison d'autres défauts qui affectent l'ouvrage, à savoir 22'200 fr. pour la réfection des peintures et crépis, 8'000 fr. pour celle du carrelage, 9'000 fr. pour le chemin goudronné, 10'900 fr. pour l'escalier et 1'285 fr. pour les frais de peinture en lien avec la pose du garde-corps de l'escalier. Elle conclut à ce qui lui soit donné acte de son engagement à leur verser des sommes inférieures pour la réfection de ces défauts, mais n'indique pas en quoi les montants retenus par le Tribunal, qui reposent sur les constatations de l'expert, seraient erronés. Au vu de l'absence de motivation de l'appelante à cet égard, il ne sera pas entré en matière sur ce point (Reetz/Theiler, Kommentar zur Schweizerischen Zivilprozessordnung, Sutter-Somm/Hasenböhler/Leuenberger [éd.], 2ème éd., 2013, n. 12 et n. 38 ad art. 311 CPC et n. 15 ad art. 321 CPC). Le jugement sera ainsi confirmé dans son intégralité.</w:t>
      </w:r>
    </w:p>
    <w:p>
      <w:r>
        <w:rPr>
          <w:b/>
        </w:rPr>
        <w:t>E. 6</w:t>
      </w:r>
    </w:p>
    <w:p>
      <w:r>
        <w:t>Les frais judiciaires d'appel seront mis à la charge de l'appelante, qui succombe (art. 106 al. 1 CPC). Ceux-ci seront arrêtés à 9'600 fr. (art. 17 et 35 du Règlement fixant le tarif des frais en matière civile, RTFMC - E 1 05.10), et entièrement compensés avec l'avance de frais opérée par l'appelante, laquelle reste acquise à l'Etat (art.111 al. 1 CPC). L'appelante sera également condamnée aux dépens d'appel des intimés, arrêtés à 6'000 fr., débours et TVA compris (art. 85 et 90 RTFMC; art. 23 al. 1 LaCC). * * * * * PAR CES MOTIFS, La Chambre civile : A la forme : Déclare recevable l'appel interjeté par A______ contre le jugement JTPI/6199/2014 rendu le 27 mai 2014 par le Tribunal de première instance dans la cause C/22036/2010-17. Au fond : Le rejette et confirme le jugement attaqué. Déboute les parties de toutes autres conclusions. Sur les frais : Arrête les frais judiciaires d'appel à 9'600 fr. et les met à la charge de A______. Dit qu'ils sont entièrement compensés par l'avance de frais opérée par A______, qui reste acquise à l'Etat. Condamne A______ à verser à C______ et B______, pris conjointement et solidairement, la somme de 6'000 fr. à titre de dépens. Siégeant : Monsieur Cédric-Laurent MICHEL, président; Madame Pauline ERARD et Madame Paola CAMPOMAGNANI, juges; Madame Nathalie DESCHAMPS, greffière. Le président : Cédric-Laurent MICHEL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