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C/22024/2020 vom 19. Juli 2022</w:t>
      </w:r>
    </w:p>
    <w:p>
      <w:r>
        <w:t>GE Cour de justice, 2022-07-19, FR</w:t>
      </w:r>
    </w:p>
    <w:p>
      <w:r>
        <w:rPr>
          <w:b/>
        </w:rPr>
        <w:t xml:space="preserve">Quelle: </w:t>
      </w:r>
      <w:r>
        <w:t>https://mcp.opencaselaw.ch/entscheid/ge_gerichte_C_22024_2020</w:t>
      </w:r>
    </w:p>
    <w:p>
      <w:r>
        <w:t>FR: GE_GERICHTE C/22024/2020 du 19 juillet 2022</w:t>
      </w:r>
    </w:p>
    <w:p>
      <w:r>
        <w:t>IT: GE_GERICHTE C/22024/2020 del 19 luglio 2022</w:t>
      </w:r>
    </w:p>
    <w:p>
      <w:pPr>
        <w:pStyle w:val="Heading2"/>
      </w:pPr>
      <w:r>
        <w:t>Erwägungen</w:t>
      </w:r>
    </w:p>
    <w:p>
      <w:r>
        <w:rPr>
          <w:b/>
        </w:rPr>
        <w:t>E. 1.1</w:t>
      </w:r>
    </w:p>
    <w:p>
      <w:r>
        <w:t>En matière de contrat de travail, la Chambre des prud'hommes de la Cour de justice est l'instance d'appel compétente à Genève pour connaître d'un appel dirigé contre un jugement du Tribunal des prud'hommes (art. 124 let a LOJ).</w:t>
      </w:r>
    </w:p>
    <w:p>
      <w:r>
        <w:rPr>
          <w:b/>
        </w:rPr>
        <w:t>E. 1.2</w:t>
      </w:r>
    </w:p>
    <w:p>
      <w:r>
        <w:t>L'appel est recevable contre les décisions finales et incidentes de première instance lorsque, dans les affaires patrimoniales, la valeur litigieuse au dernier état des conclusions est de 10'000 fr. au moins (art. 308 CPC).</w:t>
      </w:r>
    </w:p>
    <w:p>
      <w:r>
        <w:rPr>
          <w:b/>
        </w:rPr>
        <w:t>E. 1.3</w:t>
      </w:r>
    </w:p>
    <w:p>
      <w:r>
        <w:t>Il peut être formé pour violation du droit et constatation inexacte des faits (art. 310 CPC). Ecrit et motivé, l'appel doit être introduit auprès de l'instance d'appel dans les 30 jours à compter de la notification de la décision motivée (art. 311 al. 1 CPC). Les délais légaux et ceux fixés judiciairement ne courent pas du 15 juillet au 15 août inclus (art. 145 al 1 CPC). La notification intervient au moment de la remise de l'envoi recommandé au destinataire (art. 138 al. 1 et 2 CPC). Le délai d'appel est déclenché par la notification et commence à courir dès le lendemain de celle-ci (art. 142 al. 1 CPC).</w:t>
      </w:r>
    </w:p>
    <w:p>
      <w:r>
        <w:rPr>
          <w:b/>
        </w:rPr>
        <w:t>E. 1.4</w:t>
      </w:r>
    </w:p>
    <w:p>
      <w:r>
        <w:t>En l'espèce, la voie de l'appel est ouverte dès lors que la valeur litigieuse au dernier état des conclusions dans le cadre de la procédure de première instance était supérieure à 10'000 fr. En outre, introduit dans la forme prescrite par la loi auprès de l'instance cantonale compétente et dans le délai légal compte tenu de la suspension des délais, l'appel formé le 6 septembre 2022 suite à la réception du jugement du Tribunal des prud'hommes au domicile élu de l'appelante le 20 juillet 2022, est recevable.</w:t>
      </w:r>
    </w:p>
    <w:p>
      <w:r>
        <w:rPr>
          <w:b/>
        </w:rPr>
        <w:t>E. 2.1</w:t>
      </w:r>
    </w:p>
    <w:p>
      <w:r>
        <w:t>Selon la jurisprudence, le droit de réplique déduit des articles 6 CEDH et 29 al. 2 Cst. n'a pas vocation à permettre à la partie recourante de présenter des arguments nouveaux ou des griefs qui auraient déjà pu figurer dans l'acte de recours (ATF 143 II 283 consid. 1.2.3; 1C_237/221 du 4 janvier 2023 consid. 1.3.); La partie recourante ne saurait, par ce biais, remédier à une motivation défaillante ou encore compléter les motifs de son recours ( 1C_573/2022 du 13 mars 2023).</w:t>
      </w:r>
    </w:p>
    <w:p>
      <w:r>
        <w:rPr>
          <w:b/>
        </w:rPr>
        <w:t>E. 2.2</w:t>
      </w:r>
    </w:p>
    <w:p>
      <w:r>
        <w:t>En l'espèce, au stade de ses observations après un second échange d'écritures, l'appelante ne se contente pas de se déterminer sur les arguments soulevés par l'intimée dans sa réplique; elle se prévaut d'éléments nouveaux, notamment en développant des arguments découlant de la LACI, dispositions qui ne sont discutées ni dans le jugement de première instance ni dans l'appel. Présentée au-delà du délai de recours, cette argumentation est irrecevable. Dès lors, les écritures spontanées de l'appelante du 27 janvier 2023 sont déclarées irrecevables.</w:t>
      </w:r>
    </w:p>
    <w:p>
      <w:r>
        <w:rPr>
          <w:b/>
        </w:rPr>
        <w:t>E. 3</w:t>
      </w:r>
    </w:p>
    <w:p>
      <w:r>
        <w:t>La Convention collective de travail romande du second œuvre romand, arrêtés 2019 (ci-après : la Convention collective) s'applique aux relations contractuelles entre les parties. (art. 356 ss CO; Arrêtés du Conseil fédéral des 29 janvier 2019 et 11 février 2022), ce qui n'est au demeurant pas contesté par ces dernières.</w:t>
      </w:r>
    </w:p>
    <w:p>
      <w:r>
        <w:rPr>
          <w:b/>
        </w:rPr>
        <w:t>E. 4.1</w:t>
      </w:r>
    </w:p>
    <w:p>
      <w:r>
        <w:t>Dans un premier grief, l'appelante se plaint d'une violation de l'article 10 de la Convention collective, en ce sens que le contrat de travail de B______ aurait pris fin automatiquement le 31 octobre 2019. Selon l'article 10 de la Convention collective, après le temps d'essai, la résiliation d'un contrat de travail est exclue […] aussi longtemps que le travailleur a le droit à des indemnités journalières complètes de l'assurance-accident obligatoire ou de l'assurance - maladie. C'est à l'épuisement des prestations de l'assurance, si le travailleur n'est pas en mesure de reprendre son activité, que le contrat de travail est réputé caduc, sauf en cas de protection résultant dudit article.</w:t>
      </w:r>
    </w:p>
    <w:p>
      <w:r>
        <w:rPr>
          <w:b/>
        </w:rPr>
        <w:t>E. 4.2</w:t>
      </w:r>
    </w:p>
    <w:p>
      <w:r>
        <w:t>Chacun est tenu d'exercer ses droits et d'exécuter ses obligations selon les règles de la bonne foi. L'abus manifeste d'un droit n'est pas protégé par la loi (art. 2 CC). Cette disposition ne vise pas à écarter de façon générale pour certaines catégories de cas l'application des règles du droit civil, mais permet au juge de tenir compte des particularités de l'espèce (ATF 134 III 390 /JT 2010 I 143 ; ATF 145 en III 26), lorsque, en raison des circonstances, l'application normale de la loi ne se concilie pas avec les règles de la bonne foi.</w:t>
      </w:r>
    </w:p>
    <w:p>
      <w:r>
        <w:rPr>
          <w:b/>
        </w:rPr>
        <w:t>E. 4.3</w:t>
      </w:r>
    </w:p>
    <w:p>
      <w:r>
        <w:t>La question de l'application de l'article 10 de la Convention collective peut rester indécise. En effet, l'appelante ne saurait, de bonne foi, alléguer, dans les circonstances de l'espèce, que le contrat de travail la liant à l'intimé était caduc à compter du 31 octobre 2019. Ensuite du courrier de [l'assurance] C______ du 22 août 2019, chacune des parties, et en particulier l'appelante, pouvait résilier le contrat de travail à compter du 1 er novembre 2019. L'appelante ne l'a pas fait. De surcroît, en entamant des discussions avec l'intimé et en lui soumettant, au début de l'année 2020, une seconde convention de résiliation des rapports de travail, force est d'admettre que bien que connaissant l'existence de la disposition précitée, elle n'entendait pas l'invoquer, ce qui est confirmé par le fait que l'appelante a formellement résilié le contrat de travail de l'intimé par courrier du 30 janvier 2020. Si elle voulait faire application de cette disposition, la bonne foi aurait commander qu'elle en informe l'intimé en tous les cas avant la résiliation formelle du contrat de travail, respectivement invoquer la résiliation (acte formateur) à titre subsidiaire. S'en prévaloir dans le cadre de la procédure prud'homale, en réponse à la demande en paiement, contrevient à l'article 2 CC. Partant, en considérant que les rapports de travail ont pris fin le 30 avril 2020, le Tribunal des prud'hommes n'a pas violé la loi. Le jugement entrepris sera donc confirmé sur ce point.</w:t>
      </w:r>
    </w:p>
    <w:p>
      <w:r>
        <w:rPr>
          <w:b/>
        </w:rPr>
        <w:t>E. 5</w:t>
      </w:r>
    </w:p>
    <w:p>
      <w:r>
        <w:t>Dans un deuxième grief, l'appelante estime que les premiers juges ont erré en ne retenant pas une résiliation des rapports de travail par actes concluants.</w:t>
      </w:r>
    </w:p>
    <w:p>
      <w:r>
        <w:rPr>
          <w:b/>
        </w:rPr>
        <w:t>E. 5.1</w:t>
      </w:r>
    </w:p>
    <w:p>
      <w:r>
        <w:t>Selon elle, sa volonté de mettre un terme au rapport de travail avec l'intimé avec effet au 31 octobre 2019 était sans ambiguïté. En effet, elle ne pouvait reprendre l'intimé à son service en raison de son état de santé tel que décrit dans le rapport d'expertise du Dr G______.</w:t>
      </w:r>
    </w:p>
    <w:p>
      <w:r>
        <w:rPr>
          <w:b/>
        </w:rPr>
        <w:t>E. 5.2</w:t>
      </w:r>
    </w:p>
    <w:p>
      <w:r>
        <w:t>L'appelante ne saurait être suivie. En effet, la Convention collective prévoit, à son article 8, que le contrat individuel de travail doit être résilié par écrit par les parties, sous réserve de l'article 10 al. 1b, non applicable en l'espèce. Par ailleurs, l'attitude de l'appelante, depuis la réception du rapport médical précité ainsi que du courrier de l'assurance perte de gains démontre en réalité le contraire. En effet, à suivre le raisonnement de l'appelante, on ne comprend dès lors pas pourquoi cette dernière a mené des négociations après le 31 octobre 2019 et a proposé une convention de rupture des liens contractuels, et a formellement résilié le contrat le 30 janvier 2020 pour la fin avril 2020, si le contrat de travail avait pris fin par actes concluants. En outre, le représentant de la Société suisse des entrepreneurs n'a jamais invoqué que, dans l'esprit de l'appelante, les rapports de travail auraient été terminés par actes concluants. Là encore, l'argument soulevé par l'appelante est de mauvaise foi, pour ne pas dire téméraire. Elle sera déboutée.</w:t>
      </w:r>
    </w:p>
    <w:p>
      <w:r>
        <w:rPr>
          <w:b/>
        </w:rPr>
        <w:t>E. 6</w:t>
      </w:r>
    </w:p>
    <w:p>
      <w:r>
        <w:t>Dans un troisième grief, l'appelante reproche aux premiers juges d'avoir constaté les faits de façon inexacte et incomplète et d'avoir ainsi violé les articles 324 et 324a al. 4 CO et l'article 10 de la Convention collective.</w:t>
      </w:r>
    </w:p>
    <w:p>
      <w:r>
        <w:rPr>
          <w:b/>
        </w:rPr>
        <w:t>E. 6.1</w:t>
      </w:r>
    </w:p>
    <w:p>
      <w:r>
        <w:t>L'appel peut être formé pour violation du droit (art. 310 a CPC) et constatation inexacte des faits (art. 310 b CPC). L'instance d'appel dispose ainsi d'un plein pouvoir d'examen de la cause en fait et en droit. En particulier, le juge d'appel contrôle librement l'appréciation des preuves effectuées par le juge de première instance (art. 157 CPC cum art. 310 b CPC) et vérifie si celui-ci pouvait admettre les faits qu'il a retenus. Selon l'article 324 CO, si l'employeur empêche par sa faute l'exécution du travail ou s'il se trouve en demeure de l'accepter pour d'autres motifs, il reste tenu de payer le salaire sans que le travailleur doive encore fournir son travail. Cette règle spéciale l'emporte sur l'article 95 CO (ATF 116 II 142 in JT 1990 I 575). Il n'y a de demeure de l'employeur que si l'employé a clairement offert ses services (ATF 115 V 437 ). Pour que l'employeur soit en demeure, il faut qu'il ressorte clairement de l'attitude du travailleur que ce dernier soit en mesure et apte à exécuter effectivement sa prestation de travail. Cette offre de service du travailleur doit être claire et sérieuse (ATF 115 V 437 ; 4A_464/2018 du 18 avril 2019). Selon la doctrine, cette disposition pose deux conditions à la demeure de l'employeur, à savoir que le travailleur doit avoir correctement offert sa prestation, dans le temps, l'espace et la fonction, et de manière personnelle. Pratiquement, il suffit que le travailleur ait offert sa prestation de manière effective en se présentant à sa place de travail, par écrit ou de tout autre manière, d'une part, et que l'employeur doit avoir refusé la prestation de travail de manière injustifiée, tel étant le cas lorsqu'il refuse un travail qui lui régulièrement offert sans motif objectif, d'autre part (Wyler/Heinzer, Le droit du travail, 4ième édition, page 260, Berne 2019). L'offre de service n'est soumise à aucune forme (forme orale, tacite ou écrite), elle peut et doit être claire et sérieuse : l'employeur de bonne foi doit en effet, d'après les circonstances, comprendre que le travailleur a l'intention d'exécuter sa prestation (Stéphanie Perrenoud, CR CO ad art 324 CO); (ATF 115 V 437 ; 4A_464/2018 du 18 avril 2019). Si le travailleur est empêché de travailler sans faute de sa part pour des causes inhérentes à sa personne, tel que la maladie, l'accident, l'accomplissement d'une obligation légal, la fonction publique, l'employeur lui verse de salaire pour un temps limité, y compris une indemnité équitable pour salaire en nature perdu, dans la mesure où les rapports de travail ont duré plus de trois mois ont été conclus pour plus de trois mois […] Un accord écrit, un contrat type de travail ou une convention collective peut déroger aux présentes dispositions à condition d'accorder au travailleur des prestations au moins équivalentes (art. 324 a CO). L'article 35 de la Convention collective impose à l'employeur de conclure une assurance perte de gain en cas de maladie couvrant 80% du salaire assuré, dès le premier jour de travail, après un délai d'attente de 30 jours au maximum, et pour une durée maximale de 720 jours, dans l'espace de 900 jours. L'alinéa 9 prévoit que pour tous les cas couverts par l'assurance perte de gain maladie, l'employeur est libéré de toutes autres obligations.</w:t>
      </w:r>
    </w:p>
    <w:p>
      <w:r>
        <w:rPr>
          <w:b/>
        </w:rPr>
        <w:t>E. 6.2</w:t>
      </w:r>
    </w:p>
    <w:p>
      <w:r>
        <w:t>En l'espèce, l'appelante reproche aux premiers juges de ne pas avoir tenu compte du fait que l'intimé avait lui-même affirmé qu'il ne pouvait pas reprendre une activité chez elle, ce qui a été confirmé par les pièces du dossier notamment la pièce 15 intimé ainsi que par témoignages, notamment celui de D______, d'une première part; que cela était dû à l'état psychiatrique de B______, selon rapport médical du médecin produit sous pièce 4 demanderesse, d'une seconde part; que l'intimé avait tenté de se prévaloir d'un certificat établi par un psychologue qui n'était pas un médecin et que ce certificat n'avait d'ailleurs jamais été produit dans la procédure, l'existence de ce certificat étant au demeurant mise en doute, d'une troisième part; et qu'il ressortait des faits et des pièces du dossier qu'il était évident pour l'intimé qu'il ne pouvait pas reprendre d'activité au service de l'appelante eu égard à son état de santé, d'une quatrième part. En considérant que l'intimé avait clairement offert ses services à l'appelante le 27 août 2019 et exprimé le souhait d'un retour dans l'entreprise en remettant un certificat de reprise de travail, les premiers juges ont procédé à une constatation inexacte des faits. En effet, ce document n'a jamais été produit par les parties. Le courriel de l'intimée à l'appelante du 27 août 2019, fait certes, référence à une annexe mais son contenu est inconnu. Faute d'avoir été prouvée, l'allégation de l'intimée s'agissant de cette pièce doit être rejetée. Dès lors, en fondant sa motivation sur un document inexistant, les premiers juges ont versé dans l'arbitraire. En outre, l'offre de reprise de travail le 15 septembre 2019, selon courriel de l'intimée du 27 août 2019, ne permet pas de retenir qu'elle était claire et indiscutée. En réalité, ce courriel préfigure le comportement de l'intimé qui souhaitait que l'appelante résilie son contrat de travail. Il n'a jamais été allégué, et donc démontré, que l'intimé se serait rendu dans les locaux de l'appelante le 15 septembre 2019 pour y proposer ses services. Son précédent conseil, à savoir D______, n'a pas non plus offert de manière claire et indiscutée que son mandant était disposé à reprendre une activité auprès de l'appelante. Au contraire, dans sa lettre du 9 janvier 2020 à l'appelante, elle a écrit que l'intimé était empêché de travailler pour une cause inhérente à sa personnalité au sein de l'entreprise. Par ailleurs, une offre de reprise d'activité n'était pas réalisable dans la mesure où le médecin-conseil de l'assurance perte de gain, le Dr G______, a conclu, aux termes de son expertise médicale du 14 août 2019, que la capacité de travail médico-théorique, auprès de l'appelante même en cas de médiation était nulle jusqu'au 14 septembre 2019, de 50% du 15 au 30 septembre 2019 et de 100% sans diminution de rendement de le 1 er octobre 2019. Il ressort des pièces du dossier et des divers témoignages que [l'assurance] C______ a informé l'intimé qu'il devait tout mettre en œuvre pour rechercher une activité adaptée à son état de santé en raison de son obligation de réduire son dommage et que dans la mesure où son activité actuelle auprès de l'appelante n'était plus exigible à 100%, il convenait que d'un côté ou de l'autre, il soit mis fin aux rapports de travail pour le 31 octobre 2019. Or, il est patent que l'intimé a eu un comportement passif dans la mesure où il a attendu que l'appelante résilie son contrat de travail. Sa précédente mandataire a également déclaré, lors de son audition, que l'intimé devait reprendre le travail mais pas auprès de l'appelante. Certes aucune des parties n'a sollicité la mise en œuvre de la médiation précitée. Le fait pour l'intimé de ne pas avoir exigé, respectivement sollicité, la tenue d'une médiation démontre qu'il n'a pas clairement offert ses services. Qui plus est, D______, a confirmé à l'appelante, par son courrier du 9 janvier 2020, que l'intimé ne s'était pas présenté dans l'entreprise. En outre, il ne pouvait ignorer, que la reprise d'une activité auprès de l'appelante n'était possible, selon les constatations médicales qui n'ont pas jamais été remises en cause par les parties, que moyennant une médiation. Contrairement à ce qu'il soutient, il n'appartenait pas à l'appelante de la proposer, l'offre de service devant émaner de l'intimé. Ce dernier ne saurait non plus se retrancher derrière le fait qu'il aurait été victime de harcèlement. L'analyse des premiers juges sur la question ne souffre aucune critique. Aucun cas de harcèlement n'a été démontré et l'intimé n'a pas contesté cet état de fait par un appel. En conséquence, le Tribunal a apprécié les faits de manière inexacte et a violé l'article 324 CO. Faute d'avoir offert clairement ses services, l'intimé s'est mis en demeure dans l'exécution de ses obligations. A ce titre, l'appelante n'avait pas à lui verser un salaire. Pour le surplus, dans la mesure où l'appelante a conclu un contrat d'assurance perte de gains conformément à la convention collective à laquelle elle est soumise, elle était libérée de son obligation de payer le salaire à son employé en raison de son incapacité de travail. L'intimée a perçu des prestations de l'assurance perte de gain de son employeur. Le fait que les relations contractuelles étaient toujours en vigueur, n'y change rien. En l'espèce, l'empêchement de travailler ne résulte pas d'un cas de demeure de l'employeur. Le droit aux prestations d'assurance a été épuisé le 31 octobre 2019. Le droit au salaire ne renaît pas avec la conséquence que lorsque l'employé est toujours en incapacité travail et que le contrat de travail n'a pas été résilié, il se retrouve sans revenu. L'assurance perte de gains a considéré que le droit aux prestations prendrait fin le 31 octobre 2019 et sa décision n'a pas été remise en cause par l'intimé. Au demeurant, le rapport du Dr G______ conclue que la capacité de travail et donc de gains de l'intimé était totale à compter du 1 er novembre 2019 auprès d'un autre employeur. Or, l'intimé n'a procédé à aucune recherche de travail avant la fin des rapports contractuels. Ainsi, compte tenu de ce qui précède, à savoir faute de demeure de l'employeur et compte tenu de la libération de son obligation de verser le salaire en vertu de sa soumission au régime conventionnelle dérogatoire, l'intimé n'est pas fondé à réclamer un salaire à l'appelant, au-delà du 31 octobre 2019. En conséquence, le grief de l'appelante est fondé et le jugement sera annulé sur ce point.</w:t>
      </w:r>
    </w:p>
    <w:p>
      <w:r>
        <w:rPr>
          <w:b/>
        </w:rPr>
        <w:t>E. 7</w:t>
      </w:r>
    </w:p>
    <w:p>
      <w:r>
        <w:t>Dans un quatrième grief, l'appelante reproche aux premiers juges d'avoir violé l'article 329b al. 2 CO en la condamnant à verser à l'intimé une indemnité pour des jours de vacances non pris jusqu'au 30 avril 2020.</w:t>
      </w:r>
    </w:p>
    <w:p>
      <w:r>
        <w:rPr>
          <w:b/>
        </w:rPr>
        <w:t>E. 7.1</w:t>
      </w:r>
    </w:p>
    <w:p>
      <w:r>
        <w:t>L'article 329a al. 1 CO est de nature relativement impérative (art. 362 CO). L'article 20 ch. 1 de la Convention collective prévoit que le travailleur a droit à 25 jours ouvrables de vacances jusqu'à l'âge de 50 ans. L'article 329b CO dispose qu'en cas d'empêchement fautif de travailler, l'employeur peut, dans le cadre de chaque année de service, réduire le droit aux vacances d'un 12 ième correspondant à chaque mois entier l'absence (al. 1). Si l'empêchement de travailler n'est pas fautif, l'employeur pourra opérer la même réduction, mais comptera un mois d'absence comme mois de travail (délai de grâce d'un mois; al. 2). Le droit de réduire les vacances du travailleur d'un 12 eme par mois complet absence est une faculté auquel l'employeur peut valablement renoncer, soit expressément, soit par acte concluant (CR CO I –Dietschy-Martenet, art. 329b, N 9).</w:t>
      </w:r>
    </w:p>
    <w:p>
      <w:r>
        <w:rPr>
          <w:b/>
        </w:rPr>
        <w:t>E. 7.2</w:t>
      </w:r>
    </w:p>
    <w:p>
      <w:r>
        <w:t>Le contrat de travail de l'intimé ne respectait pas l'article 20 de la Convention collective puisqu'il ne prévoyait que 4 semaines de vacances par an au lieu de 25 jours. Selon les documents produits par l'appelante, il résulte que l'intimé n'a effectivement pas pris 25 jours (200 heures) de vacances chaque année. En effet, en 2015, il a pris 23 jours; en 2016, il a pris 24 jours, aucun solde de vacances de l'année précédente n'étant mentionné; en 2017, il a pris 21 jours, un solde vacances de l'année précédente d'un jour étant indiqué; en 2018, il a pris 25 jours, aucun solde vacances de l'année précédente n'étant mentionné; et, en 2019, il a pris 3 jours de vacances, aucun solde de vacances de l'année précédente n'étant reporté. Le solde des droits aux vacances de l'intimé du 1 er janvier au 31 octobre 2019 est de 17,83 jours, soit 142,64 heures. Ainsi, du 1 er janvier 2015 au 31 octobre 2019, l'intimé avait droit à 24,83 jours soit un solde de 198,64 heures (2 jours en 2015 + 1 jour en 2016 + 4 jours en 2017 + 17,83 jours en 2019), ce qui correspond à un salaire de 7'031 fr. 85 (198,64 heures × 35 fr. 40). Dans la mesure où l'intimé n'a pas offert ses services au-delà du 31 octobre 2019, il n'a droit à aucun jour de vacances du 1 er novembre 2019 à la fin des rapports de travail, 30 avril 2020, par identité de motifs avec ce qui précède au considérant ci-dessus.</w:t>
      </w:r>
    </w:p>
    <w:p>
      <w:r>
        <w:rPr>
          <w:b/>
        </w:rPr>
        <w:t>E. 7.3</w:t>
      </w:r>
    </w:p>
    <w:p>
      <w:r>
        <w:t>La bonne foi commande que si un employeur veut faire usage du droit découlant de l'article 329b CO, il doit en faire état, au plus tard à la fin des rapports de travail. Le raisonnement du Tribunal ne prête aucunement le flanc à la critique. Dès lors, c'est à bon droit que le Tribunal a considéré que l'appelante n'avait pas fait usage de son droit de réduire le droit aux vacances en raison de la maladie de l'intimé.</w:t>
      </w:r>
    </w:p>
    <w:p>
      <w:r>
        <w:rPr>
          <w:b/>
        </w:rPr>
        <w:t>E. 7.4</w:t>
      </w:r>
    </w:p>
    <w:p>
      <w:r>
        <w:t>Le jugement sera donc reformé sur ce point et l'appelante condamnée à verser à B______ un montant de 7'031 fr. 85 pour vacances non prises avec intérêts à 5% l'an dès le 30 avril 2020.</w:t>
      </w:r>
    </w:p>
    <w:p>
      <w:r>
        <w:rPr>
          <w:b/>
        </w:rPr>
        <w:t>E. 8</w:t>
      </w:r>
    </w:p>
    <w:p>
      <w:r>
        <w:t>Le Tribunal fédéral a retenu au sujet de l'appel (art. 311 al. 1 CPC) que la motivation est une condition de recevabilité légale qui s'examine d'office. Lorsqu'elle fait défaut, le tribunal supérieur cantonal n'entre pas en matière ( 5A_82/2013 consid. 3.2). La motivation consiste à démontrer le caractère erroné de la décision attaquée. Un renvoi au moyen soulevé en première instance est insuffisant, de même que des critiques d'ordre général. L'appelante doit indiquer en quoi pêche le raisonnement du premier juge en désignant de manière explicite les passages problématiques de la décision et les pièces justifiant cette critique en matière d'appréciation des preuves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que la décision attaquée est entachée d'erreurs. Il ne peut le faire qu'en reprenant la démarche du premier juge et en mettant le doigt sur les failles de son raisonnement. Si la motivation de l'appel est identique au moyen qui avait déjà été présenté en première instance, avant la reddition de la décision attaquée ( 4A_380/2014 consid. 3.3), ou si elle ne contient que des critiques toutes générales de la décision attaquée ou encore si elle ne fait que renvoyer au moyen soulevé en première instance, elle ne satisfait pas aux exigences de l'article 311 al. 1 CPC et l'instance d'appel ne peut entrer en matière. Une réplique spontanée à la réponse à l'appel ne peut servir à combler les lacunes de l'appel ( 4A_380/2014 ; François Bohnet, CPC annoté, édition 2016 pages 557 et 558).</w:t>
      </w:r>
    </w:p>
    <w:p>
      <w:r>
        <w:rPr>
          <w:b/>
        </w:rPr>
        <w:t>E. 8.1</w:t>
      </w:r>
    </w:p>
    <w:p>
      <w:r>
        <w:t>L'appelante conclut à l'annulation du dispositif du jugement du 19 juillet 2022, notamment les chiffres 10 et 11. Dans la mesure où sur ces 2 points, l'appelante ne formule aucun grief dans son écriture d'appel, des chiffres 10 et 11 du dispositif seront confirmés.</w:t>
      </w:r>
    </w:p>
    <w:p>
      <w:r>
        <w:rPr>
          <w:b/>
        </w:rPr>
        <w:t>E. 8.2</w:t>
      </w:r>
    </w:p>
    <w:p>
      <w:r>
        <w:t>S'agissant du chiffre 9 du dispositif, il est constant que l'intimé a chiffré sa conclusion suite à l'interpellation du Tribunal. Par ailleurs, l'appelante ne démontre pas en quoi la décision des premiers juges serait contraire au droit, respectivement arbitraire. Son grief, purement appellatoire, ne satisfait pas aux réquisits de l'article 311 CPC. Le jugement entrepris sera également confirmé sur ce point.</w:t>
      </w:r>
    </w:p>
    <w:p>
      <w:r>
        <w:rPr>
          <w:b/>
        </w:rPr>
        <w:t>E. 9</w:t>
      </w:r>
    </w:p>
    <w:p>
      <w:r>
        <w:t>En définitive, l'appelante obtient partiellement gain de cause.</w:t>
      </w:r>
    </w:p>
    <w:p>
      <w:r>
        <w:rPr>
          <w:b/>
        </w:rPr>
        <w:t>E. 10</w:t>
      </w:r>
    </w:p>
    <w:p>
      <w:r>
        <w:t>Au regard de la valeur litigieuse supérieure à 50'000 fr., il y a lieu de percevoir des frais judiciaires pour la procédure d'appel (art. 114 let. c cum 116 al. 1 CPC; art. 19 al. 3 let. c LaCC). Ceux-ci seront arrêtés à 900 fr. (art. 71 RTFMC), mis à la charge de l'appelante, à raison d'un tiers, soit de 300 fr., dans la mesure où ses griefs ont partiellement été admis (art. 106 al. 2 CPC) et compensés en partie avec l'avance de 200 fr. versée par cette dernière, qui reste acquise à l'Etat de Genève (art. 111 al. 1 CPC). Le solde de 600 fr., à savoir les deux-tiers, sera mis à la charge de l'intimé et compensé partiellement avec l'avance de frais effectuée par celui-ci à raison de 200 fr., qui reste acquise à l'Etat de Genève. L'appelante sera, en conséquence, condamnée à verser le solde de 100 fr. à l'Etat de Genève, soit pour lui les Services financiers du Pouvoir judiciaire, et l'intimé sera condamné à verser la somme de 400 fr. La procédure d'appel ne donne pas lieu à l'allocation de dépens (art. 22 al. 2 LaCC). * * * * * PAR CES MOTIFS, La Chambre des prud'hommes, groupe 1 : A la forme : Déclare recevable l'appel interjeté le 6 septembre 2022 par A______ SA contre le jugement JTPH/236/2022 rendu le 19 juillet 2022 par le Tribunal des prud'hommes dans la cause C/22024/2020-1. Déclare irrecevables les déterminations spontanées de l'appelante du 27 janvier 2023. Au fond : Admet partiellement l'appel. Annule les chiffres 7, 8, 14 à 16 du dispositif du jugement JTPH/236/2022 du 19 juillet 2022. Condamne A______ SA à verser à B______ la somme brute de 7'031 fr. 85 (sept mille trente et un francs suisses et quatre-vingt-cinq centimes), avec intérêt moratoire à 5% l'an dès le 30 avril 2020. Invite la partie qui en a la charge à opérer les déductions sociales et légales usuelles. Confirme le jugement précité pour le surplus. Sur les frais : Arrête les frais de la procédure de première instance et d'appel à 900 fr. Les met à charge de A______ SA à concurrence d'un tiers soit 300 fr., le solde, soit 600 fr. étant à la charge de B______. Les compense partiellement avec les avances de frais de 200 fr. effectuées par B______ (première instance) et 200 fr. effectuées par A______ SA (seconde instance) qui restent acquises à l'Etat de Genève. Condamne B______ à verser 400 fr. à l'Etat de Genève. Condamne A______ SA à verser 100 fr. à l'Etat de Genève. Dit qu'il n'est pas alloué de dépens. Déboute les parties de toutes autres conclusions. Siégeant : Monsieur Yves BONARD, président; Monsieur André PITTET, juge employeur; Monsieur Pierre André THORIMBERT, juge salarié; Madame Joëlle DEBONNEVILLE, greffière. Le président : Yves BONARD La greffière : Joëlle DEBONNEVILLE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