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C/21686/2006 vom 18. Januar 2008</w:t>
      </w:r>
    </w:p>
    <w:p>
      <w:r>
        <w:t>GE Cour de justice, 2008-01-18, FR</w:t>
      </w:r>
    </w:p>
    <w:p>
      <w:r>
        <w:rPr>
          <w:b/>
        </w:rPr>
        <w:t xml:space="preserve">Quelle: </w:t>
      </w:r>
      <w:r>
        <w:t>https://mcp.opencaselaw.ch/entscheid/ge_gerichte_C_21686_2006</w:t>
      </w:r>
    </w:p>
    <w:p>
      <w:r>
        <w:t>FR: GE_GERICHTE C/21686/2006 du 18 janvier 2008</w:t>
      </w:r>
    </w:p>
    <w:p>
      <w:r>
        <w:t>IT: GE_GERICHTE C/21686/2006 del 18 gennaio 2008</w:t>
      </w:r>
    </w:p>
    <w:p>
      <w:pPr>
        <w:pStyle w:val="Heading2"/>
      </w:pPr>
      <w:r>
        <w:t>Regeste</w:t>
      </w:r>
    </w:p>
    <w:p>
      <w:r>
        <w:t>CONTRAT INDIVIDUEL DE TRAVAIL; DIRECTEUR ; HÔTELLERIE ET RESTAURATION; CONVENTION COLLECTIVE DE TRAVAIL; HEURES DE TRAVAIL SUPPLÉMENTAIRES; FARDEAU DE LA PREUVE; INDEMNITÉ DE VACANCES; RÉSILIATION ABUSIVE | La Cour relève que T ne remplissait pas une fonction dirigeante élevée au sens de la jurisprudence, puisqu'elle ne disposait pas d'un pouvoir de décision sur les questions essentielles en assumant une responsabilité correspondante. Dès lors, elle pouvait prétendre à une rémunération pour ses heures supplémentaires. Une telle rémunération était d'ailleurs expressément prévue dans son contrat de travail. Toutefois, la Cour constate que les heures supplémentaires effectuées n'ont pas été exigées par E, lequel en a eu connaissance très tardivement, et n'apparaissent pas avoir été nécessitées par les besoins de la tâche confiée. Par conséquent, les heures supplémentaires réclamées par T ne donnent pas lieu à rémunération et le jugement attaqué est confirmé. | CO.319; CCNT.2; CCNT.15.al5; CCNT.21.al2; CO.329d.al2; CO.336.al1.letd;</w:t>
      </w:r>
    </w:p>
    <w:p>
      <w:pPr>
        <w:pStyle w:val="Heading2"/>
      </w:pPr>
      <w:r>
        <w:t>Erwägungen</w:t>
      </w:r>
    </w:p>
    <w:p>
      <w:r>
        <w:rPr>
          <w:b/>
        </w:rPr>
        <w:t>E. 1</w:t>
      </w:r>
    </w:p>
    <w:p>
      <w:r>
        <w:t>Interjetés dans le délai et suivant la forme prescrite par la loi, tant l'appel principal que l'appel incident sont recevables. La Cour d'appel dispose d'une cognition complète. La valeur litigieuse, au stade du présent appel, est supérieure à fr. 15'000.-</w:t>
      </w:r>
    </w:p>
    <w:p>
      <w:r>
        <w:rPr>
          <w:b/>
        </w:rPr>
        <w:t>E. 2</w:t>
      </w:r>
    </w:p>
    <w:p>
      <w:r>
        <w:t>Devant la Cour, l'employeur soutient que la CCNT 98 n'est pas applicable aux rapports entre les parties, l'employée revêtant la qualité de chef d'établissement. Ainsi, il conteste son obligation de verser à l'employée un treizième salaire</w:t>
      </w:r>
    </w:p>
    <w:p>
      <w:r>
        <w:rPr>
          <w:b/>
        </w:rPr>
        <w:t>E. 2.1</w:t>
      </w:r>
    </w:p>
    <w:p>
      <w:r>
        <w:t>A teneur de l'art. 2 CCNT 98, "ne sont pas soumis à cette convention les chefs d'établissement, directeurs (…)". Ainsi que l'ont à juste titre rappelé les premiers juges, les collaborateurs qui exercent la fonction de chef d'établissement, de directeur, de gérant ou d'administrateur ne sont pas soumis à la CCNT 98, à condition qu'ils disposent d'un pouvoir décisionnel dans des affaires importantes, au sens de la loi sur le travail (art. 9 Ordonnance 1 concernant la loi sur le travail), et qu'ils assument une responsabilité en rapport. Le remplaçant du chef d'établissement, les assistants et les aides du patron restent en revanche soumis à la CCNT 98.</w:t>
      </w:r>
    </w:p>
    <w:p>
      <w:r>
        <w:rPr>
          <w:b/>
        </w:rPr>
        <w:t>E. 2.2</w:t>
      </w:r>
    </w:p>
    <w:p>
      <w:r>
        <w:t>En l'espèce, l'employée a certes été engagée comme "responsable" de la cafeteria du fitness "A___". Ce simple titre ne lui confère toutefois pas à lui seul la qualité de "responsable d'établissement" au sens de la disposition précitée. En effet, l'employée n'avait in casu pas de pouvoir décisionnel sur les affaires importantes: plus spécifiquement, elle n'avait pas de pouvoir d'engager des dépenses, au-delà de la gestion de son fonds de caisse, ou du personnel et, pour toute décision importante, elle devait en référer à la directrice du centre de fitness. Dès lors, l'exception prévue à l'art. 2 CCNT n'est pas réalisée et les premiers juges ont retenu avec raison que la CCNT 98 était applicable aux rapports entre les parties. La condamnation de l'employeur à verser fr. 2'343.75 brut à ce titre (montant qui ne fait en soi pas l'objet de contestation) sera partant confirmée.</w:t>
      </w:r>
    </w:p>
    <w:p>
      <w:r>
        <w:rPr>
          <w:b/>
        </w:rPr>
        <w:t>E. 3</w:t>
      </w:r>
    </w:p>
    <w:p>
      <w:r>
        <w:t>L'employée reprend devant la Cour d'appel sa prétention tendant à la rémunération de 453 heures supplémentaires.</w:t>
      </w:r>
    </w:p>
    <w:p>
      <w:r>
        <w:rPr>
          <w:b/>
        </w:rPr>
        <w:t>E. 3.1</w:t>
      </w:r>
    </w:p>
    <w:p>
      <w:r>
        <w:t>Aux termes de l'article 15 alinéa 5 CCNT 98, les heures supplémentaires sont des heures de travail faites en plus de la durée moyenne de la semaine de travail convenue. Ces dernières doivent être compensées, dans un délai convenable, par du temps libre de même durée. Si la compensation n'est pas possible, les heures supplémentaires doivent être payées au plus tard à la fin des rapports de travail. Pour les composantes fixes du salaire, les heures supplémentaires doivent être payées à 125%. L'alinéa 7 de la même disposition prévoit que l'employeur doit établir un décompte des heures de travail accomplies et le faire signer par le collaborateur au moins une fois par semaine. La CCNT 98 institue un régime particulier quant au fardeau de la preuve de l’exécution d’heures supplémentaires. Ainsi, l’employeur doit tenir un registre des heures de travail et des jours de repos effectifs. Si cette obligation n’est pas respectée, le contrôle de la durée du temps de travail tenu par le collaborateur sera admis comme moyen de preuve en cas de litige (art. 21 al. 2 CCNT 98) Par ailleurs, ainsi que l'ont rappelé les premiers juges, la rémunération des heures supplémentaires n’est pas due si le travailleur prend l’initiative d’effectuer de telles heures contrairement à la volonté de son employeur ou à son insu. Ce qui est décisif, c’est la connaissance par l’employeur du fait que le travailleur effectue des heures supplémentaires (ATF 116 II 69 , consid. 4b ; CAPH du 20 octobre 1993 en la cause VI/853/92 ; AUBERT, Commentaire romand, n. 10 ad art. 321 c CO). A cela s'ajoute que l'employé au bénéfice d’un horaire de travail flexible doit en principe compenser les heures qu’il a effectuées en plus par un congé. Une rémunération en espèces n’entre en considération que si des nécessités liées à l’entreprise ou si des directives expresses de l’employeur ne permettent pas de compenser un tel crédit par du temps libre à l’intérieur de l’horaire de travail flexible convenu et en respectant d’éventuelles plages horaires ; dans un tel cas, les heures effectuées en surnombre ne doivent plus être considérées comme un crédit découlant de l’horaire de travail flexible, mais comme de véritables heures supplémentaires (ATF 123 III 469 , consid. 3). Les réclamations éventuelles concernant la rémunération ou la compensation des heures supplémentaires doivent être présentées au moment du versement du salaire mensuel: ainsi, l'employeur qui ne proteste pas ne peut pas s'opposer à l'accomplissement de telles heures, alors que l'employé qui ne revendique pas le paiement des heures supplémentaires en temps opportun et qui laisse croire par son silence et par son attitude passive qu'il renonce à ce paiement, ou qu'il entend compenser les heures supplémentaires par une certaine liberté d'horaire, viole les règles de la bonne foi s'il émet ensuite des prétentions à ce sujet (WYLER, Droit du travail, 2002, p. 83; AUBERT, Quatre cents arrêts sur le contrat de travail, 1984, arrêts n°73-75).</w:t>
      </w:r>
    </w:p>
    <w:p>
      <w:r>
        <w:rPr>
          <w:b/>
        </w:rPr>
        <w:t>E. 3.2</w:t>
      </w:r>
    </w:p>
    <w:p>
      <w:r>
        <w:t>En l'espèce, l'employée ne remplissait pas une fonction dirigeante élevée au sens de la jurisprudence (ATF 126 III 337 ); elle ne disposait en effet pas dans l'entreprise d'un pouvoir de décisions sur les questions essentielles en assumant une responsabilité correspondante. Elle peut ainsi, en principe, prétendre à une rémunération pour ses heures supplémentaires. Une telle rémunération est d'ailleurs expressément prévue dans son contrat de travail. Il est établi par témoins que l'employée restait régulièrement à son travail d'environ 8h ou 8h30 le matin jusqu'après la fermeture de la cafeteria et qu'elle excédait ainsi, régulièrement, l'horaire journalier de cinq heures contractuellement prévu. Cette circonstance résultant des témoignages, point n'est besoin de se prononcer ni sur la valeur probante des décomptes établis par l'employée, mais que cette dernière n'a pas présenté régulièrement à son employeur, ni sur la répartition du fardeau de la preuve en la matière. La discussion ne s'arrête toutefois pas là, le simple fait que l'employée ait travaillé plus que prévu ne lui donnant pas encore droit, en soi, à une rémunération pour les heures ainsi accomplies. Il n'est pas établi que l'employeur aurait demandé à l'employée d'accomplir journellement plus que cinq heures de travail quotidien. Plus spécifiquement, l'allégué de l'employée, à teneur duquel l'employeur lui aurait été demandé, en août ou septembre 2005, d'effectuer deux heures quotidiennes de plus, n'est pas étayé d'éléments probants. L'employée a par ailleurs échoué à démontrer qu'elle aurait informé l'employeur de ce fait avant le 8 mai 2006. Il ne saurait ainsi être retenu que l'employeur a accepté l'exécution du travail supplémentaire effectué sans qu'il en ait connaissance. Sur le sujet, la Cour relève que le fait que la directrice du fitness soit régulièrement venue manger à midi à la cafeteria n'établit pas qu'elle savait que l'employée dépassait ses horaires. L'employée était engagée pour 25 heures hebdomadaires, réparties sur cinq jours. Aucun horaire fixe ne lui a toutefois été imposé, et elle demeurait libre d'organiser ses horaires, en fonction des nécessités de sa tâche, pour autant qu'elle accomplisse cinq heures quotidiennes. La cafeteria dont l'employée avait la charge était ouverte de 8h jusqu'à 13h environ, puis jusqu'à 14h 30 environ dans un second temps; il y était servi des petits déjeuners diététiques, des boissons (dont des jus de fruits frais pressés) et des en-cas, puis, dans un second temps, également, des plats, froids en règle générale, pour le repas de midi; après les transformations de l'été 2005, il y avait environ 28 couverts et la fréquentation était irrégulière et, compte tenu des chiffres d'affaires réalisés, relativement peu intense. Dans un premier temps, la nourriture a été livrée par un traiteur; ensuite, l'employée a choisi d'effectuer ses courses elle-même dans des supermarchés, au lieu de recourir à une livraison par un grossiste. Pour l'aider dans sa tâche, l'employée disposait enfin d'un aide de cuisine et d'un pâtissier, travaillant tous deux de 08h à 15h environ et le nettoyage du sol, matin et soir, était effectué par une nettoyeuse. Compte tenu de ces éléments, il devait être possible à l'employée, en organisant judicieusement son travail et en répartissant l'accueil à la clientèle entre elle-même et les deux autres personnes travaillant avec elle, de ne pas excéder les cinq heures de travail contractuellement convenues. Dans ces circonstances, les heures supplémentaires effectuées, qui n'ont pas été demandées par l'employeur, dont celui-ci n'avait pas connaissance avant le 8 mai 2006 et qui n'apparaissent pas avoir été nécessitées par les besoins de la tâche confiée, ne donnent pas lieu à rémunération. Le jugement attaqué sera ainsi confirmé sur ce point par substitution partielle de motifs.</w:t>
      </w:r>
    </w:p>
    <w:p>
      <w:r>
        <w:rPr>
          <w:b/>
        </w:rPr>
        <w:t>E. 4</w:t>
      </w:r>
    </w:p>
    <w:p>
      <w:r>
        <w:t>L'employée reprend devant la Cour ses conclusions relatives au paiement d'une indemnité pour 12 jours de vacances non prises. L'employeur fait quant à lui valoir que, compte tenu de la durée pendant laquelle l'employée a été libérée de son obligation de travailler, il pouvait être exigé d'elle qu'elle prenne son solde de vacances avant l'expiration des rapports de travail.</w:t>
      </w:r>
    </w:p>
    <w:p>
      <w:r>
        <w:rPr>
          <w:b/>
        </w:rPr>
        <w:t>E. 4.1</w:t>
      </w:r>
    </w:p>
    <w:p>
      <w:r>
        <w:t>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et réf. citées); le point de savoir si le solde de vacances non prises devait être indemnisé en espèces devait être tranché de cas en cas, en se fondant sur le rapport entre la durée de la libération de l'obligation de travailler et le nombre de jours de vacances restant (ATF 128 III 271 consid. 4a/cc p. 282 s.). Il faut en particulier que, durant cette période, le salarié congédié ait, en plus de ses vacances, suffisamment de temps à consacrer à la recherche d'un nouvel emploi, droit du travailleur qui demeure toutefois prioritaire (ATF 128 III 271 , consid. 4 cc), arrêt 4C.193/2005 du 30 septembre 2005, consid. 3.2 non publié aux ATF 131 III 623 ). Plus spécifiquement, un critère temporel on ne peut en aucun cas être schématiquement fixé mais il y a lieu de tenir compte de toutes les circonstances, soit en particulier de la difficulté à retrouver un nouveau travail et du rapport entre la durée de la libération de travailler et celle des vacances restant à prendre (ATF 128 III 2711 consid. 4 cc).</w:t>
      </w:r>
    </w:p>
    <w:p>
      <w:r>
        <w:rPr>
          <w:b/>
        </w:rPr>
        <w:t>E. 4.2</w:t>
      </w:r>
    </w:p>
    <w:p>
      <w:r>
        <w:t>En l'espèce, l'employeur ne conteste pas qu'au jour du licenciement, soit le 23 mai 2006, il restait à l'employée 12 jours de vacances à prendre. Le contrat de travail ayant été dénoncé pour le 31 juillet 2006, il restait à l'employée (compte tenu des jours fériés de l'Ascencion et du lundi de Pentecôte) 48 jours ouvrables, à raison de cinq jours comptés par semaine, pour chercher un emploi et prendre d'éventuelles vacances. Compte tenu des vacances restant à prendre (12 jours), il demeurait à l'employée 36 jours ouvrables pour ses recherches d'emploi, ce qui n'est pas négligeable. Certes, il doit d'être admis que l'employée, sans certificat de capacité, mais titulaire d'une patente et avec une expérience du métier, était entravée dans la recherche d'un emploi par le fait que mère de famille, elle souhaitait trouver un emploi à temps partiel et avec des horaires compatibles avec ceux de ses enfants. Toutefois, l'employée ne justifie pas des recherches d'emploi qu'elle aurait entreprises, selon elle dès l'annonce du licenciement. Compte tenu de ces circonstances, les premiers juges n'ont pas excédé leur pouvoir d'appréciation en retenant qu'il pouvait, in casu, être exigé de l'employée qu'elle prenne son solde de vacances avant l'expiration des rapports de travail.</w:t>
      </w:r>
    </w:p>
    <w:p>
      <w:r>
        <w:rPr>
          <w:b/>
        </w:rPr>
        <w:t>E. 5</w:t>
      </w:r>
    </w:p>
    <w:p>
      <w:r>
        <w:t>L'employée reprend enfin devant la Cour sa prétention en paiement d'une indemnité pour licenciement abusif, faisant valoir que les motifs avancés par l'employeur ne constituent qu'un prétexte et qu'elle a en réalité été licenciée parce qu'elle faisait valoir des prétentions en relation avec ses heures supplémentaires. L'employeur, pour sa part, estime avoir établi la réalité des motifs invoqués à l'appui du congé.</w:t>
      </w:r>
    </w:p>
    <w:p>
      <w:r>
        <w:rPr>
          <w:b/>
        </w:rPr>
        <w:t>E. 5.1</w:t>
      </w:r>
    </w:p>
    <w:p>
      <w:r>
        <w:t>En matière de contrat de travail, la loi en vigueur repose sur le principe de la liberté du congé. Chaque partie a le droit de résilier sans indication de motif un contrat de travail conclu pour une durée indéterminée. Elle doit respecter cependant les termes et délais, ainsi que les autres règles énoncées aux articles 336 et suivants CO. La jurisprudence constante considère qu'est abusif le congé donné par une partie pour un des motifs énumérés à l'article 336 alinéa 1 ou 2 CO. Selon la doctrine majoritaire, cette liste d'éventualités n'est pas exhaustive; le recours à l'abus de droit (article 2 alinéa 2 CC) étant toujours possible. Néanmoins, l'application de cette norme présuppose l'abus manifeste d'un droit, ce qui n'est pas requis dans le cadre de l'article 336 CO (ATF 111 II 242 = JdT 1986 I 79; CAPH du 21 décembre 1993, cause n° III/177/93 ; Streiff/Von Kaenel, Arbeitsvertrag, ad art. 336 N° 2 et N° 3 p. 337; Rehbinder, Berner Kommentar, ad art. 336 N° 10 p. 91). Plus spécifiquement, est abusif le congé donné parce que l’autre partie formule de bonne foi une prétention découlant du contrat de travail, d’une convention collective ou de la loi (congé-représailles - art. 336 al. 1 er lit. d CO). La réclamation ne doit être ni chicanière ni téméraire, car la protection ne doit pas s’étendre au travailleur qui cherche à bloquer un congé en soi admissible ou qui fait valoir des prétentions totalement injustifiées ; d’autre part, la prétention exercée ne doit pas nécessairement être fondée en droit, mais il suffit que le travailleur soit légitimé, de bonne foi, à penser qu’elle l’est (Arrêts du Tribunal fédéral 4C.247/1993 et réf. citées et TF in SJ 1995, p. 797 et réf. citées). Les seuls éléments déterminants pour qu'un congé soit abusif, sont le motif du congé et la causalité entre ce motif et le congé lui-même : le congé ne peut et ne doit être considéré comme abusif que parce qu'il a été prononcé pour un motif qui n'est pas digne de protection (FF 1984 II 622 ; ATF du 11 novembre 1993 W. S.A. c/ M. p. 6 et 7). Lorsque plusieurs motifs entrent en jeu, et que l'un d'entre eux n'est pas digne de protection, il convient de déterminer, si, sans le motif illicite, le contrat de travail aurait tout de même été résilié; si tel est le cas, le congé n'est pas abusif (Arrêt du Tribunal fédéral n.p. du 11.11.93, W. S.A. c/ L.M. et réf.). Il y a lieu de rechercher ainsi lequel des deux motifs ayant causé le licenciement est prépondérant (Arrêt du Tribunal fédéral n.p. du 8.2.94. U.S.A. c/ M. et Caisse de chômage; CAPH du 26.4.94 cause II/888/92). Le travailleur supporte le fardeau de la preuve du caractère abusif du motif de congé. Le juge peut toutefois, puisqu'il apprécie librement les preuves, admettre que la résiliation est abusive lorsque ce caractère abusif résulte avec une haute vraisemblance d'un faisceau d'indices (Vischer, Traité de droit privé VII/1,III, Der Arbeitsvertrag, p. 171 et réf. citées).</w:t>
      </w:r>
    </w:p>
    <w:p>
      <w:r>
        <w:rPr>
          <w:b/>
        </w:rPr>
        <w:t>E. 5.2</w:t>
      </w:r>
    </w:p>
    <w:p>
      <w:r>
        <w:t>En l'espèce, certes le congé a-t-il été donné deux semaines environ après que l'employée a, pour la première fois, fait valoir des prétentions en relations avec des heures supplémentaires et quelques jours après qu'elle les a fait valoir une seconde fois par écrit. Le seul critère de la chronologie n'est toutefois pas suffisant pour admettre l'existence d'un congé abusif. Ainsi que le relèvent à juste titre les premiers juges, les enquêtes ont en effet permis d'établir la réalité de certains des reproches formulés par l'employeur à l'égard de l'employée, et qui sont mentionnés comme motifs de congé. Il est ainsi établi que l'employeur s'est à plusieurs reprises plaint de la propreté relative qui régnait dans la cuisine, et que ses plaintes sur le sujet n'étaient pas sans fondement. Il est également établi que l'employée était désorganisée, ce qui entraînait des surcoûts, en particulier parce qu'elle s'approvisionnait dans des supermarchés et non chez un grossiste. Ainsi, même si le fait que l'employée a élevé des prétentions en relation avec des heures supplémentaires a pu jouer un rôle dans le décision de licenciement, il ne s'agit pas là, de l'avis de la Cour, du motif prépondérant du congé. Les motifs de licenciement invoqués ne constituant pas de simple prétextes, les premiers juges ont nié avec raison le caractère abusif du congé, et leur décision sur ce point doit être confirmée.</w:t>
      </w:r>
    </w:p>
    <w:p>
      <w:r>
        <w:rPr>
          <w:b/>
        </w:rPr>
        <w:t>E. 6</w:t>
      </w:r>
    </w:p>
    <w:p>
      <w:r>
        <w:t>Les considérants qui précèdent conduisent à la confirmation du jugement attaqué. L'émolument d'appel versé par l'employée reste acquis à l'Etat. Aucune des parties n'ayant plaidé de manière téméraire,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