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C/21647/2021 vom 28. September 2022</w:t>
      </w:r>
    </w:p>
    <w:p>
      <w:r>
        <w:t>GE Cour de justice, 2022-09-28, FR</w:t>
      </w:r>
    </w:p>
    <w:p>
      <w:r>
        <w:rPr>
          <w:b/>
        </w:rPr>
        <w:t xml:space="preserve">Quelle: </w:t>
      </w:r>
      <w:r>
        <w:t>https://mcp.opencaselaw.ch/entscheid/ge_gerichte_C_21647_2021</w:t>
      </w:r>
    </w:p>
    <w:p>
      <w:r>
        <w:t>FR: GE_GERICHTE C/21647/2021 du 28 septembre 2022</w:t>
      </w:r>
    </w:p>
    <w:p>
      <w:r>
        <w:t>IT: GE_GERICHTE C/21647/2021 del 28 settembre 2022</w:t>
      </w:r>
    </w:p>
    <w:p>
      <w:pPr>
        <w:pStyle w:val="Heading2"/>
      </w:pPr>
      <w:r>
        <w:t>Regeste</w:t>
      </w:r>
    </w:p>
    <w:p>
      <w:r>
        <w:t>LP.80; LP.50</w:t>
      </w:r>
    </w:p>
    <w:p>
      <w:pPr>
        <w:pStyle w:val="Heading2"/>
      </w:pPr>
      <w:r>
        <w:t>Erwägungen</w:t>
      </w:r>
    </w:p>
    <w:p>
      <w:r>
        <w:rPr>
          <w:b/>
        </w:rPr>
        <w:t>E. 1.1</w:t>
      </w:r>
    </w:p>
    <w:p>
      <w:r>
        <w:t>S'agissant d'une procédure de mainlevée, seule la voie du recours est ouverte (art. 319 let. b et 309 let. b ch. 3 CPC). Aux termes de l'art. 321 al. 1 et 2 CPC, le recours, écrit et motivé, doit être introduit auprès de l'instance de recours dans les dix jours à compter de la notification de la décision motivée, compte tenu de l'application de la procédure sommaire (art. 251 let. a CPC). Interjeté en temps utile et selon les formes prescrites, le recours est recevable.</w:t>
      </w:r>
    </w:p>
    <w:p>
      <w:r>
        <w:rPr>
          <w:b/>
        </w:rPr>
        <w:t>E. 1.2</w:t>
      </w:r>
    </w:p>
    <w:p>
      <w:r>
        <w:t>Les pièces produites par le recourant devant la Cour figurent déjà dans le dossier de première instance et se rapportent, pour le surplus, à un extrait du registre du commerce, se référant ainsi à un fait notoire, qu'il n'est pas nécessaire d'alléguer ni de prouver (ATF 143 IV 380 consid. 1.1.1), et dont il peut être tenu compte de son contenu.</w:t>
      </w:r>
    </w:p>
    <w:p>
      <w:r>
        <w:rPr>
          <w:b/>
        </w:rPr>
        <w:t>E. 1.3</w:t>
      </w:r>
    </w:p>
    <w:p>
      <w:r>
        <w:t>Le recours étant instruit en procédure sommaire, la preuve des faits allégués doit être apportée par titres (art. 254 CPC). Les maximes des débats et de disposition s'appliquent (art. 55 al. 1, 255 a contrario et art. 58 al. 1 CPC).</w:t>
      </w:r>
    </w:p>
    <w:p>
      <w:r>
        <w:rPr>
          <w:b/>
        </w:rPr>
        <w:t>E. 1.4</w:t>
      </w:r>
    </w:p>
    <w:p>
      <w:r>
        <w:t>Dans le cadre d'un recours, le pouvoir d'examen de la Cour est limité à la violation du droit et à la constatation manifestement inexacte des faits (art. 320 CPC).</w:t>
      </w:r>
    </w:p>
    <w:p>
      <w:r>
        <w:rPr>
          <w:b/>
        </w:rPr>
        <w:t>E. 2</w:t>
      </w:r>
    </w:p>
    <w:p>
      <w:r>
        <w:t>Le recourant conteste la compétence à raison du lieu des tribunaux genevois. Il se plaint d'une violation de l'art. 50 LP résultant d'une appréciation inexacte des faits (sic), reprochant au Tribunal d'avoir retenu que la poursuite concernait exclusivement des impôts sur le bénéfice réalisé dans le cadre de son activité effectuée à Genève en tant qu'indépendant.</w:t>
      </w:r>
    </w:p>
    <w:p>
      <w:r>
        <w:rPr>
          <w:b/>
        </w:rPr>
        <w:t>E. 2.1</w:t>
      </w:r>
    </w:p>
    <w:p>
      <w:r>
        <w:t>En vertu de l'art. 80 al. 1 LP, le créancier qui est au bénéfice d'un jugement exécutoire ou d'une décision rendue par des autorités administratives suisses (art. 80 al. 2 ch. 2 LP) peut requérir du juge la mainlevée définitive de l'opposition. Le juge du for de la poursuite statue sur les requêtes en mainlevée (art. 84 al. 1 LP). Le for de la poursuite est en principe au domicile du débiteur (art. 46 al. 1 LP). Il existe néanmoins des fors spéciaux, notamment lorsque le débiteur n'est pas domicilié en Suisse (art. 48 ss LP). Aux termes de l'art. 50 al. 1 LP, le débiteur domicilié à l’étranger qui possède un établissement en Suisse peut y être poursuivi pour les dettes de celui-ci. A la différence des autres fors spéciaux, cette disposition constitue un for pour tous les modes de poursuite. Il est sans importance que l'établissement n'ait pas, en tant que tel, la capacité d'ester en justice, ni celle d'être poursuivi, puisque la procédure de poursuite n'est pas dirigée contre lui, mais contre son détenteur (arrêt du Tribunal fédéral du 5A_883/2020 du 16 mars 2021 consid. 2.3.1). La notion d'"établissement" au sens de l'art. 50 LP al. 1 LP est plus large que celle de succursale du droit des sociétés. Il suffit qu'une activité économique soit déployée en Suisse, quelle qu'en soit la forme, de manière non transitoire, avec des moyens humains et des biens ou des services. L'établissement en Suisse peut, par exemple, être une entreprise individuelle (Ochsner, La poursuite contre le débiteur à l'étranger, in JdT 2014 II 3, p. 7-8). Les dettes doivent, quant à elles, découler de cette activité. Il peut s'agir des dettes contractuelles, délictuelles ou légales, le critère décisif étant leur lien avec l'établissement (Ochsner, op. cit., p. 9). Selon la jurisprudence relative à l'art. 50 al. 1 LP, déterminer si une dette concerne l'établissement en Suisse est une question de fond, à résoudre dans la procédure de mainlevée (ATF 114 III 6 consid. 1; arrêt du Tribunal fédéral 4A_295/2020 du 28 décembre 2020 consid. 7.3 et les références citées).</w:t>
      </w:r>
    </w:p>
    <w:p>
      <w:r>
        <w:rPr>
          <w:b/>
        </w:rPr>
        <w:t>E. 2.2</w:t>
      </w:r>
    </w:p>
    <w:p>
      <w:r>
        <w:t>En l'espèce, le montant de 54'624 fr. 50 à la base de la poursuite se rapporte à la part d'impôts ICC 2012 mise à la charge du recourant à la suite de la séparation d'avec son ex-épouse. Ce montant résulte, en effet, du bordereau rectificatif d'impôts établi le 6 mai 2019 par l'AFC-GE, ainsi que de la décision de scission du 18 juillet 2020. Durant la période concernée, le recourant était domicilié en France et déployait une activité d'avocat indépendant, sous la forme d'une raison individuelle, à Genève. Il est ainsi acquis, et non contesté, que ses revenus professionnels étaient déclarés et imposés dans sa déclaration privée en tant que personne physique. Se pose dès lors la question de savoir si la dette d'impôts faisant l'objet de la poursuite concerne l'activité commerciale du recourant ou sa fortune privée. L'appelant soutient que la créance déduite en poursuite serait de nature personnelle, en relation avec le prêt que lui a consenti la société B______ SA en sa qualité d'actionnaire, sans lien avec son activité d'avocat déployée à Genève. Or, tant les autorités fiscales que les tribunaux saisis du litige ont considéré que le prêt en question constituait un prêt fictif devant être qualifié de prestation appréciable en argent faisant partie de la fortune commerciale du recourant. Ce dernier n'a contesté ni le bordereau rectificatif, ni le décompte final consécutif, ni encore la décision de scission, qui se basent sur cette qualification. Quant à son recours contre le jugement du Tribunal administratif de première instance du 14 janvier 2019, il a été rejeté par la Chambre administrative de la Cour de justice et il n'est pas allégué, ni a fortiori démontré que la cause ait été portée par-devant le Tribunal fédéral. A cela s'ajoute que, selon les propres explications du recourant, ledit prêt lui a été consenti dans le but de débuter et développer son activité d'avocat et qu'il reconnaît lui-même l'avoir inscrit dans ses comptes commerciaux, ce qui est corroboré par la chronologie des faits puisque ledit prêt lui a été concédé en 2011, lorsqu'il a débuté sa nouvelle activité indépendante. Les éléments du dossier permettent ainsi de considérer que la dette d'impôts à la base de la poursuite, qui découle du prêt concédé par la société B______ SA, relève de l'activité commerciale du recourant. Le fait que ledit prêt lui ait été concédé en sa qualité d'actionnaire n'y change rien. Il s'ensuit que le Tribunal n'a commis aucune constatation manifestement inexacte des faits en retenant que la dette fiscale réclamée dans le cadre de la poursuite dirigée contre le recourant découlait de son activité commerciale, ni aucune violation du droit en admettant en conséquence que les conditions de l'art. 50 LP étaient réalisées. Infondé, le recours sera rejeté.</w:t>
      </w:r>
    </w:p>
    <w:p>
      <w:r>
        <w:rPr>
          <w:b/>
        </w:rPr>
        <w:t>E. 3</w:t>
      </w:r>
    </w:p>
    <w:p>
      <w:r>
        <w:t>Les frais du recours seront mis à la charge du recourant qui succombe (art. 106 CPC), arrêtés à 750 fr. (art. 48 et 61 OELP; art. 26 et 38 RTFMC) et entièrement compensés avec l'avance du même montant fournie par ce dernier, laquelle demeure acquise à l'Etat de Genève (art. 111 al. 1 CPC). Il n'y a pas lieu à l'allocation de dépens, l'intimé comparant en personne et ne justifiant pas de démarches en permettant l'octroi (art. .95 al. 3 let c CPC). * * * * * PAR CES MOTIFS, La Chambre civile : A la forme : Déclare recevable le recours interjeté le 19 mai 2022 par A______ contre le jugement JTPI/5060/2022 rendu le 28 avril 2022 par le Tribunal de première instance dans la cause C/21647/2021-11 SML. Au fond : Le rejette. Déboute les parties de toutes autres conclusions. Sur les frais : Arrête les frais judiciaires de recours à 750 fr., les met à la charge de A______ et dit qu'ils sont entièrement compensés avec l'avance de frais versée par ce dernier. Dit qu'il n'y a pas lieu à l'allocation de dépens. Siégeant : Monsieur Laurent RIEBEN, président; Madame Pauline ERARD, Madame Paola CAMPOMAGNANI, juges; Madame Laura SESSA, greffière. Le président : Laurent RIEBEN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