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C/21633/2019 vom 16. Januar 2020</w:t>
      </w:r>
    </w:p>
    <w:p>
      <w:r>
        <w:t>GE Cour de justice, 2020-01-16, FR</w:t>
      </w:r>
    </w:p>
    <w:p>
      <w:r>
        <w:rPr>
          <w:b/>
        </w:rPr>
        <w:t xml:space="preserve">Quelle: </w:t>
      </w:r>
      <w:r>
        <w:t>https://mcp.opencaselaw.ch/entscheid/ge_gerichte_C_21633_2019</w:t>
      </w:r>
    </w:p>
    <w:p>
      <w:r>
        <w:t>FR: GE_GERICHTE C/21633/2019 du 16 janvier 2020</w:t>
      </w:r>
    </w:p>
    <w:p>
      <w:r>
        <w:t>IT: GE_GERICHTE C/21633/2019 del 16 gennaio 2020</w:t>
      </w:r>
    </w:p>
    <w:p>
      <w:pPr>
        <w:pStyle w:val="Heading2"/>
      </w:pPr>
      <w:r>
        <w:t>Regeste</w:t>
      </w:r>
    </w:p>
    <w:p>
      <w:r>
        <w:t>SÉQUESTRE(LP);LÉGITIMATION ACTIVE ET PASSIVE | LP.271.al1; LP.82.al1.ch4</w:t>
      </w:r>
    </w:p>
    <w:p>
      <w:pPr>
        <w:pStyle w:val="Heading2"/>
      </w:pPr>
      <w:r>
        <w:t>Volltext</w:t>
      </w:r>
    </w:p>
    <w:p>
      <w:r>
        <w:t>Genève Cour de Justice (Cour civile) Chambre civile (Sommaires) 16.01.2020 C/21633/2019</w:t>
      </w:r>
    </w:p>
    <w:p>
      <w:r>
        <w:t>SÉQUESTRE(LP);LÉGITIMATION ACTIVE ET PASSIVE | LP.271.al1; LP.82.al1.ch4</w:t>
      </w:r>
    </w:p>
    <w:p>
      <w:r>
        <w:t>C/21633/2019 ACJC/80/2020 du 16.01.2020 sur SQ/1270/2019 ( SQP ) , CONFIRME Descripteurs : SÉQUESTRE(LP);LÉGITIMATION ACTIVE ET PASSIVE Normes : LP.271.al1; LP.82.al1.ch4 En fait En droit Par ces motifs RÉPUBLIQUE ET CANTON DE GENÈVE POUVOIR JUDICIAIRE C/21633/2019 ACJC/80/2020 ARRÊT DE LA COUR DE JUSTICE Chambre civile du jeudi 16 janvier 2020 Pour A______ SA , sise ______, ______ (ZH) p.a. Mme B______, ______ (VD), recourante contre une ordonnance de refus de séquestre rendue par la 4ème Chambre du Tribunal de première instance de ce canton le 9 décembre 2019, comparant en personne. EN FAIT A. Par requête du 24 septembre 2019, reçue par le Tribunal de première instance le 27 septembre suivant, dirigée contre C______, domicilié en France, A______ SA a requis le séquestre des créances salariales versées à celui-ci par son employeur, D______, p.a. E______ [association], route 1______ [no.] ______, [code postal] F______ (Genève). Elle a fait valoir des créances d'arriérés de primes d'assurance LAMal de janvier à décembre 2017 et de frais de participation, de 4'680 fr. 90, plus intérêts à 5% dès le 30 juin 2017, 30 fr. de frais de rappel, 95 fr. de frais d'encaissement et 21 fr. 30 à titre d'anciens frais de poursuite. Elle a allégué que C______ était employé salarié de D______, à Genève. A______ SA a produit les pièces suivantes : - une police d'assurance de C______ valable dès le 1 er janvier 2017, concernant l'assurance-maladie LAMal et l'assurance des soins G______, d'un montant de 346 fr. 50 par mois; dite police mentionne que les conditions générales d'assurance (CGA) édition 2013 sont applicables; l'assureur responsable est H______ SA à I______ (ZH). A______ SA peut fournir des prestations de service pour le compte de H______ SA; - huit décomptes de primes, établis respectivement les 17 février, 10 mars, 13 avril, 12 mai, 9 juin, 14 juillet, 11 août et 7 septembre 2017, concernant les primes de janvier à décembre 2017; - trois décomptes de prestations, des 12 avril, 30 avril et 24 mai 2017; - un extrait de compte concernant C______ du 24 septembre 2019; - un courrier non daté du Service de l'assurance-maladie du Département de la cohésion sociale de la République et canton de Genève, requérant de H______ SA l'affiliation d'office de C______, domicilié en France, l'employeur de celui-ci étant J______ SA à K______ (GE); - un courrier du Secrétariat aux Migrations de la Confédération suisse du 8 mai 2019 à A______ SA, mentionnant que C______ est employé de D______ à Genève. B. Par ordonnance SQ/1270/2019 du 9 décembre 2019, reçue le 11 décembre suivant par A______ SA, le Tribunal a rejeté la requête de séquestre (ch. 1 du dispositif) et arrêté à 200 fr. les frais judiciaires, mis à la charge de la précitée, compensés avec l'avance de frais fournie par elle (ch. 2 et 3). Le Tribunal a considéré que A______ SA n'avait pas la légitimation active, dès lors qu'elle n'était pas créancière des montants requis en séquestre, l'assureur et le créancier des primes d'assurance étant H______ SA. La délégation de certaines tâches administratives de cette dernière à une entité dénommée "A______" ne permettait pas à A______ SA de se substituer à H______ SA pour procéder à l'encaissement des primes, aucune cession de créance n'étant par ailleurs intervenue. C. Par acte expédié à la Cour de justice le 19 décembre 2019, A______ SA a formé recours contre ladite ordonnance, dont elle a requis l'annulation. Elle a conclu à ce que la Cour admette sa légitimation active et ordonne le séquestre requis, sous suite de frais et dépens. Elle a formé de nouveaux allégués et produit une pièce nouvelle (CGA édition 2018). Elle a été informée par pli du greffe du 10 janvier 2020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La recourante a formé de nouveaux allégués et produit une pièce nouvelle. 3.1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3.2 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 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H______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H______ SA, ce qu'elle n'allègue au demeurant pas. Le grief de la recourante est ainsi infondé. Par ailleurs, la recourante n'a pas rendu vraisemblable l'existence de biens appartenant au débiteur en Suisse. En effet, la seule pièce produite, soit un courrier du Secrétariat aux Migrations de la Confédération suisse du 8 mai 2019, ne permet pas de retenir, même sous l'angle de la vraisemblance, que C______ était employé de D______ à Genève au jour du dépôt de la requête de séquestre. De plus, la recourante ne rend pas non plus vraisemblable que le précité serait un salarié de l'entité susmentionnée, celle-ci étant une entreprise individuelle, C______ D______, inscrite au Registre du commerce genevois, dont C______ est le titulaire. 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 PAR CES MOTIFS, La Chambre civile : A la forme : Déclare recevable le recours interjeté le 19 décembre 2019 par A______ SA contre l'ordonnance SQ/1270/2019 rendue le 9 décembre 2019 par le Tribunal de première instance dans la cause C/21633/2019-4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