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C/21594/2020 vom 17. Oktober 2023</w:t>
      </w:r>
    </w:p>
    <w:p>
      <w:r>
        <w:t>GE Cour de justice, 2023-10-17, FR</w:t>
      </w:r>
    </w:p>
    <w:p>
      <w:r>
        <w:rPr>
          <w:b/>
        </w:rPr>
        <w:t xml:space="preserve">Quelle: </w:t>
      </w:r>
      <w:r>
        <w:t>https://mcp.opencaselaw.ch/entscheid/ge_gerichte_C_21594_2020</w:t>
      </w:r>
    </w:p>
    <w:p>
      <w:r>
        <w:t>FR: GE_GERICHTE C/21594/2020 du 17 octobre 2023</w:t>
      </w:r>
    </w:p>
    <w:p>
      <w:r>
        <w:t>IT: GE_GERICHTE C/21594/2020 del 17 ottobre 2023</w:t>
      </w:r>
    </w:p>
    <w:p>
      <w:pPr>
        <w:pStyle w:val="Heading2"/>
      </w:pPr>
      <w:r>
        <w:t>Regeste</w:t>
      </w:r>
    </w:p>
    <w:p>
      <w:r>
        <w:t>CC.285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les contributions mensuelles d'entretien des enfants et le partage des avoirs de prévoyance professionnelle accumulés par les parties durant le mariage, de sorte que la valeur litigieuse est supérieure à 10'000 fr. La voie de l'appel est donc ouverte.</w:t>
      </w:r>
    </w:p>
    <w:p>
      <w:r>
        <w:rPr>
          <w:b/>
        </w:rPr>
        <w:t>E. 1.2</w:t>
      </w:r>
    </w:p>
    <w:p>
      <w:r>
        <w:t>Interjeté dans le délai (art. 311 al. 1 CPC) et selon la forme prescrits par la loi (art. 130, 131, 311 al. 1 CPC), l'appel est recevable.</w:t>
      </w:r>
    </w:p>
    <w:p>
      <w:r>
        <w:rPr>
          <w:b/>
        </w:rPr>
        <w:t>E. 1.3</w:t>
      </w:r>
    </w:p>
    <w:p>
      <w:r>
        <w:t>La Cour revoit la cause en fait et en droit avec un plein pouvoir d'examen (art. 310 CPC). Les maximes d'office et inquisitoire illimitée sont applicables aux questions concernant les enfants mineurs (art. 55 al. 2, 58 al. 2 et art. 296 CPC), ce qui a pour conséquence que la Cour n'est pas liée par les conclusions des parties (art. 296 al. 3 CPC). La maxime inquisitoire ne dispense toutefois pas les parties de collaborer activement à la procédure et d'étayer leurs propres thèses. Il leur incombe de renseigner le juger sur les faits de la cause et de lui indiquer les moyens de preuve disponibles (ATF 130 III 102 consid. 2.2; arrêt du Tribunal fédéral 5A_616/2021 du 7 novembre 2022 consid. 8.3).</w:t>
      </w:r>
    </w:p>
    <w:p>
      <w:r>
        <w:rPr>
          <w:b/>
        </w:rPr>
        <w:t>E. 1.4</w:t>
      </w:r>
    </w:p>
    <w:p>
      <w:r>
        <w:t>L'appelant et l'intimée produisent des pièces nouvelles devant la Cour.</w:t>
      </w:r>
    </w:p>
    <w:p>
      <w:r>
        <w:rPr>
          <w:b/>
        </w:rPr>
        <w:t>E. 1.4.1</w:t>
      </w:r>
    </w:p>
    <w:p>
      <w:r>
        <w:t>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arrêts du Tribunal fédéral 5A_389/2022 du 29 novembre 2022 consid. 4.1, 5A_364/2020 du 14 juin 2021 consid. 8.1).</w:t>
      </w:r>
    </w:p>
    <w:p>
      <w:r>
        <w:rPr>
          <w:b/>
        </w:rPr>
        <w:t>E. 1.4.2</w:t>
      </w:r>
    </w:p>
    <w:p>
      <w:r>
        <w:t>En l'espèce, les pièces nouvelles produites par les parties au cours de la procédure d'appel et avant que la cause n'ait été gardée à juger par la Cour sont susceptibles d'avoir une influence sur les questions relatives aux enfants mineurs, de sorte qu'elles sont recevables, de même que les faits qui s'y rapportent. Ceux-ci ont été intégrés à l'état de fait ci-dessus.</w:t>
      </w:r>
    </w:p>
    <w:p>
      <w:r>
        <w:rPr>
          <w:b/>
        </w:rPr>
        <w:t>E. 2</w:t>
      </w:r>
    </w:p>
    <w:p>
      <w:r>
        <w:t>L'appelant remet en cause le montant des contributions mensuelles d'entretien fixées en première instance. Il conteste que sa capacité de gain puisse être fixée à hauteur de 6'500 fr., il soutient que l'intimée pourrait exercer son activité professionnelle à plein temps et invoque une atteinte grave à son minimum vital.</w:t>
      </w:r>
    </w:p>
    <w:p>
      <w:r>
        <w:rPr>
          <w:b/>
        </w:rPr>
        <w:t>E. 2.1.1</w:t>
      </w:r>
    </w:p>
    <w:p>
      <w:r>
        <w:t>A teneur de l'art. 276 al. 1 CC, l'entretien de l'enfant est assuré par les soins, l'éducation et des prestations pécuniaires. Ces trois éléments étant considérés comme équivalents (ATF 147 III 265 consid. 5.5; arrêts du Tribunal fédéral 5A_117/2021 du 9 mars 2022 consid. 4.2 et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141 III 401 consid. 4.1, 140 III 337 consid. 4.3 et les références citées).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La contribution d'entretien sert aussi à garantir la prise en charge de l'enfant par les parents et les tiers (art. 285 al. 2 CC). 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(arrêts du Tribunal fédéral 5A_330/2022 du 27 mars 2023 consid. 4.1.1; 5A_743/2017 du 22 mai 2019 consid. 5.2.3).</w:t>
      </w:r>
    </w:p>
    <w:p>
      <w:r>
        <w:rPr>
          <w:b/>
        </w:rPr>
        <w:t>E. 2.1.2</w:t>
      </w:r>
    </w:p>
    <w:p>
      <w:r>
        <w:t>Le Tribunal fédéral a posé, pour toute la Suisse, une méthode de calcul uniforme des contributions d'entretien du droit de la famille, soit la méthode du minimum vital avec répartition de l'excédent, dite en deux étapes (ATF 147 III 249 in SJ 2021 I 316, 147 III 265 , 147 III 293 , 147 III 301 ).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arrêt du Tribunal fédéral 5A_509/2022 du 6 avril 2023 consid. 6.4.2).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w:t>
      </w:r>
    </w:p>
    <w:p>
      <w:r>
        <w:rPr>
          <w:b/>
        </w:rPr>
        <w:t>E. 2.1.3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5A_1048/2021 du 11 octobre 2022 consid. 4.2; 5A_987/2020 du 24 février 2022 consid. 4.1 et les références citées).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(arrêts du Tribunal fédéral 5A_1048/2021 du 11 octobre 2022 consid. 4.2; 5A_987/2020 du 24 février 2022 consid. 4.1 et les références citées).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5A_1048/2021 du 11 octobre 2022 consid. 4.2; 5A_987/2020 du 24 février 2022 consid. 4.1 et les références citées).</w:t>
      </w:r>
    </w:p>
    <w:p>
      <w:r>
        <w:rPr>
          <w:b/>
        </w:rPr>
        <w:t>E. 2.1.4</w:t>
      </w:r>
    </w:p>
    <w:p>
      <w:r>
        <w:t>Tant le débiteur d'entretien que le créancier peuvent se voir imputer un revenu hypothétique supérieur au revenu effectif. Il s'agit ainsi d'inciter la personne à réaliser le revenu qu'elle est en mesure de se procurer et qu'on peut raisonnablement exiger d'elle afin de remplir ses obligations (ATF 143 III 233 consid. 3.2, 137 III 102 consid. 4.2.2.2; arrêts du Tribunal fédéral 5A_799/2021 du 12 avril 2022 consid. 3.2.1; 5A_1026/2021 du 27 janvier 2022 consid. 4.1 et les références citées).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5A_1026/2021 du 27 janvier 2022 consid. 4.1 et la référence citée). Pour arrêter le montant du salaire, le juge peut se baser sur l'enquête suisse sur la structure des salaires, réalisée par l'Office fédéral de la statistique, ou sur d'autres sources (ATF 137 III 118 consid. 3.2; arrêts du Tribunal fédéral 5A_613/2022 du 2 février 2023 consid. 411;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 résumé in DroitMatrimonial.ch).</w:t>
      </w:r>
    </w:p>
    <w:p>
      <w:r>
        <w:rPr>
          <w:b/>
        </w:rPr>
        <w:t>E. 2.1.5</w:t>
      </w:r>
    </w:p>
    <w:p>
      <w:r>
        <w:t>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5A_1065/2021 du 2 mars 2021 consid. 5.1;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arrêts du Tribunal fédéral 5A_462/2019 du 29 janvier 2020 consid. 5.3.1; 5A_329/2019 du 25 octobre 2019 consid. 3.3.1.2).</w:t>
      </w:r>
    </w:p>
    <w:p>
      <w:r>
        <w:rPr>
          <w:b/>
        </w:rPr>
        <w:t>E. 2.1.6</w:t>
      </w:r>
    </w:p>
    <w:p>
      <w:r>
        <w:t>Dans le calcul des besoins, le point de départ est le minimum vital du droit des poursuites, comprenant l'entretien de base selon les Normes d'insaisissabilité (NI 2023, RS/GE E 3 60.04). Sont en outre ajoutés au montant de 1'350 fr. pour un débiteur monoparental ou de 1'200 fr. pour un débiteur seul,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(arrêts du Tribunal fédéral 5A_378/2021 du 7 septembre 2022 consid. 7.3; 5A_717/2019 du 20 avril 2020 consid. 3.1.2.2; 5A_889/2018 du 15 mai 2019 consid. 3.2.1).</w:t>
      </w:r>
    </w:p>
    <w:p>
      <w:r>
        <w:rPr>
          <w:b/>
        </w:rPr>
        <w:t>E. 2.1.7</w:t>
      </w:r>
    </w:p>
    <w:p>
      <w:r>
        <w:t>Lorsque les moyens de la famille permettent de couvrir le minimum vital élargi du droit de la famille, l'excédent éventuel doit être réparti en équité entre les ayants droit (méthode du minimum vital avec répartition de l'excédent; ATF 147 III 265 consid. 7.2 et 7.3).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 grandes et petites têtes ", en ce sens que chacun des parents reçoit le double de chacun des enfants; cette règle n'est cependant pas absolue et peut être relativisée selon les circonstances du cas particulier (ATF 147 III 265 consid. 7.3, arrêt du Tribunal fédéral 5A_597/2022 du 7 mars 2021 consid. 6.2). La part de l'excédent en faveur des enfants est ensuite partagée par moitié entre chacun de leurs parents qui assument leur garde alternée (arrêt du Tribunal fédéral 5A_330/2022 du 27 mars 2023 consid. 4.1.2 et 4.2.4).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w:t>
      </w:r>
    </w:p>
    <w:p>
      <w:r>
        <w:rPr>
          <w:b/>
        </w:rPr>
        <w:t>E. 2.2</w:t>
      </w:r>
    </w:p>
    <w:p>
      <w:r>
        <w:t>L'application de ces principes à la présente cause permet de retenir les éléments suivants :</w:t>
      </w:r>
    </w:p>
    <w:p>
      <w:r>
        <w:rPr>
          <w:b/>
        </w:rPr>
        <w:t>E. 2.2.1</w:t>
      </w:r>
    </w:p>
    <w:p>
      <w:r>
        <w:t>L'appelant conteste la capacité de gain retenue par le Tribunal en 6'500 fr. et soutient que sa capacité mensuelle de gain pourrait être de l'ordre de 5'500 fr. au maximum. A son sens, le Tribunal ne pouvait pas écarter son bilan 2019, qui n'avait pas été affecté par les conséquences de la crise sanitaire. Or, une diminution importante de son bénéfice annuel était déjà intervenue cette année-là. Il n'avait plus réalisé les chiffres d'affaires des années 2014 et 2015 et ses économies de 100'000 fr. avaient été " totalement absorbées ". En l'espèce, l'appelant exerce une activité de professeur de danse à titre indépendant et il n'a pas collaboré à l'établissement de sa situation financière puisqu'il n'a produit en seconde instance ni le bilan, ni le compte de résultat de l'année 2022, lesquels auraient permis d'actualiser ses revenus professionnels réalisés postérieurement à la crise du COVID. Selon les trois derniers bilans produits, il aurait réalisé des bénéfices nets de 28'363 fr. 23 en 2019, de 567 fr. 51 en 2020, puis une perte nette de 18'921 fr. 20 en 2021. Ces deux derniers chiffres ont toutefois été rectifiés par l'Administration fiscale cantonale car ils n'incluaient pas les allocations de perte de gain qui lui ont été allouées, de sorte qu'en 2020, son bénéfice net a été porté à 27'524 fr. et la perte de 2021 s'est transformée en bénéfice net de 4'107 fr. Cependant, ainsi que le Tribunal l'a considéré avec raison, les exercices de 2020 et 2021 ne reflètent pas la capacité de gain de l'appelant, car son activité professionnelle a subi les effets de la crise sanitaire durant ces années-là. De plus, les chiffres des exercices comptables 2019 à 2021, même rectifiés par l'Administration fiscale cantonale pour les deux dernières années, demeurent sujets à caution. En effet, le bénéfice annuel net de 2019, réalisé avant la crise sanitaire à hauteur de 28'363 fr. 23 selon les comptes, représente la somme mensuelle de 2'364 fr., au moyen de laquelle il n'a pas pu assumer des charges mensuelles d'entretien de 6'114 fr., comprenant le montant de 4'914 fr. pour lui-même, retenu sur mesures protectrices de l'union conjugale, et celui de 1'200 fr. (14'400 fr. ./. 12 mois), correspondant aux contributions mensuelles d'entretien de ses enfants et dont il ne ressort pas de la procédure que celles-ci seraient en souffrance. Dans ces conditions, il n'est pas crédible qu'il ait œuvré bénévolement à l'animation d'émissions de radio et disc-jockey durant des soirées. De plus, le bénéfice n'inclut pas les honoraires perçus par virement bancaire et en espèces, lesquels avaient été retenus en sus dans la procédure de mesures protectrices de l'union conjugale. Enfin, il n'a pas allégué avoir dû contracter des dettes, hormis sa prime d'assurance-maladie déduite en poursuite, ni avoir dû être aidé financièrement. Il s'ensuit que l'appelant n'a pas justifié de ses moyens de subsistance de 2019 à 2021. C'est, dès lors, avec raison que le Tribunal a procédé à une estimation de ses revenus mensuels nets Le montant arrêté, de manière motivée, à 6'500 fr. n'est pas critiquable, étant relevé que ce chiffre est inférieur à la capacité de gain qui avait été retenue sur mesures protectrices de l'union conjugale (7'000 fr.), laquelle incluait l'entier de sa rémunération (bénéfice net et honoraires perçus par virement et en espèces). Ce revenu mensuel net de 6'500 fr. correspond d'ailleurs à la rémunération usuelle qu'il percevait avant la crise sanitaire, de 2014 à 2018, et elle reflète davantage le montant réel de ses revenus au regard de ses charges mensuelles en 6'114 fr. (contributions d'entretien incluses) ou réduites à 5'287 fr. dans son appel ( cf . ci-dessous) et à augmenter de 1'200 fr. de contributions mensuelles d'entretien sur mesures protectrices de l'union conjugale qu'il verse pour ses enfants (soit, au total, une somme de 6'487 fr.). Enfin, si l'appelant avait un statut d'employé, il serait susceptible de percevoir un revenu mensuel brut de 8'900 fr., respectivement net de 7'655 fr. après déduction de 14% de cotisations sociales, selon le Calculateur statistique de salaires 2020 disponible sur le site internet de l'Office fédéral de la statistique (avec les données suivantes : région lémanique, activités récréatives et de loisirs, directeurs, cadres et gérants, 40h par semaine [compte tenu des soirées], brevet d'enseignement, pour un homme âgé de 55 ans, ayant par hypothèse 10 ans de service, pour une entreprise de moins de 10 employés, 12 salaires mensuels). Cela confirme que le revenu mensuel net de 6'500 fr. déterminé par le Tribunal n'est pas excessif au vu de celui en vigueur dans sa branche d'activité. Par ailleurs, ce montant n'inclut pas ce qu'il obtient au moyen de son activité, à titre lucratif, de vide grenier en louant un espace à cette fin dans son école de danse, dont le montant ne peut être évalué en l'absence de production des éléments nécessaires à cet égard, mais dont il y aurait lieu de tenir compte. Il résulte de ce qui précède que le montant de 6'500 fr. arrêté par le Tribunal n'est pas excessif. Le grief de l'appelant n'est, dès lors, pas fondé.</w:t>
      </w:r>
    </w:p>
    <w:p>
      <w:r>
        <w:rPr>
          <w:b/>
        </w:rPr>
        <w:t>E. 2.2.2</w:t>
      </w:r>
    </w:p>
    <w:p>
      <w:r>
        <w:t>L'appelant soutient que le Tribunal n'a admis ses charges mensuelles qu'à concurrence de 4'914 fr., alors qu'il chiffre celles-ci à 5'287 fr., sa prime assurance-maladie s'élevant à 441 fr. (4'914 fr. – 68 fr. de solde de prime d'assurance-maladie + 441 fr.) et relève l'absence d'octroi de subsides et sa mise en poursuite pour un recouvrement de primes. En outre, il mentionne l'augmentation de ses charges professionnelles, soit le loyer de son école (435 fr. en 2023, 660 fr. en 2024 et 885 fr. en 2025). En l'espèce , l'appelant fait l'objet de poursuites pour un arriéré de prime d'assurance-maladie ponctuel du 13 décembre 2021 en 1'218 fr. 45, de sorte qu'il convient de considérer qu'il règle par ailleurs ses primes d'assurance-maladie courantes, aucun élément du dossier ne permettant de retenir le contraire. Dans ces conditions, il se justifie d'inclure la prime d'assurance-maladie dans ses charges mensuelles, sous réserve de la question du subside. Le Tribunal, qui s'est fondé sur les charges mensuelles retenues dans la procédure de mesures protectrices (en 4'914 fr.), a néanmoins indiqué une prime d'assurance-maladie résiduelle de 68 fr. en raison de la déduction d'un subside (soit des charges totales réduites à 4'614 fr.). Il a ensuite effectué le calcul du disponible de l'appelant sur la base de ce dernier montant, même si, par inadvertance, il a mentionné celui de 4'914 fr. Compte tenu du revenu hypothétique qui a été imputé à l'appelant (6'500 fr.), il ne percevra vraisemblablement pas de subside, de sorte que sa prime d'assurance-maladie sera retenue à hauteur de 441 fr. Par ailleurs, l'augmentation de ses charges professionnelles n'est pas pertinente dans le cadre du calcul de son minimum vital du droit de la famille, car il s'agit de se fonder uniquement sur les charges mensuelles qui concernent son propre entretien. Les charges mensuelles de l'appelant seront, dès lors, arrêtées à 4'987 fr. (base mensuelle d'entretien: 1'350 fr., loyer: 2'110 fr. [charges et place de parking comprises], prime d'assurance-maladie: 441 fr., assurance ménage: 36 fr., frais de transport: 150 fr., prime d'assurance-vie: 300 fr. et impôts: 600 fr.).</w:t>
      </w:r>
    </w:p>
    <w:p>
      <w:r>
        <w:rPr>
          <w:b/>
        </w:rPr>
        <w:t>E. 2.2.3</w:t>
      </w:r>
    </w:p>
    <w:p>
      <w:r>
        <w:t>L'appelant ne conteste pas en lui-même le montant de 4'615 fr. retenu à titre de revenus pour l'intimée, mais il reproche au Tribunal d'avoir admis un taux d'activité de 70%, quand bien même l'intimée pourrait exercer son activité professionnelle à plein temps. En l'espèce, le plus jeune des trois enfants, E______, est âgé de 9 ans révolus et il fréquente l'école primaire (cycle moyen), de sorte qu'en application de la jurisprudence fédérale sus-évoquée, seule une activité à mi-temps était en principe exigible de la part de l'intimée. Il s'ensuit qu'en exerçant à 70%, l'intimée travaille au-delà de ce qui pourrait être attendu d'elle, ce qui, a fortiori , exclut de lui imposer un taux d'activité à plein temps. Le grief de l'appelant n'est, dès lors, pas fondé.</w:t>
      </w:r>
    </w:p>
    <w:p>
      <w:r>
        <w:rPr>
          <w:b/>
        </w:rPr>
        <w:t>E. 2.2.4</w:t>
      </w:r>
    </w:p>
    <w:p>
      <w:r>
        <w:t>L'intimée a mentionné que les contributions mensuelles d'entretien auraient pour conséquence d'augmenter sa charge mensuelle d'impôt. En l'espèce, la charge mensuelle d'impôt de l'intimée a été retenue à concurrence de 6 fr. par le Tribunal, pour des contributions mensuelles d'entretien fixées à 1'200 fr. sur mesures protectrices de l'union conjugale. Or, les contributions mensuelles d'entretien restant dues aux enfants seront inférieures à ce montant ( cf . ci-dessous), de sorte qu'elles n'augmenteront pas la charge fiscale de la mère.</w:t>
      </w:r>
    </w:p>
    <w:p>
      <w:r>
        <w:rPr>
          <w:b/>
        </w:rPr>
        <w:t>E. 2.2.5</w:t>
      </w:r>
    </w:p>
    <w:p>
      <w:r>
        <w:t>Les charges mensuelles des enfants ont été admises à concurrence de 870 fr. pour C______, 790 fr. pour D______ et 540 fr. pour E______, avant déductions des allocations familiales. Ces montants ne sont pas contestés. Ils ne comprennent cependant pas une participation des enfants au loyer de leur père et mère. Ce dernier est toutefois similaire et déjà acquitté par les parents, y compris la part des enfants, de sorte que ceux-ci supportent une part équivalente à cet égard, ce qui est approprié compte tenu de la garde alternée. Le montant des charges des enfants ne sera dès lors pas corrigé. Les charges effectives des enfants après déduction des allocations familiales sont ainsi de 455 fr. pour C______, 479 fr. pour D______ et 125 fr. pour E______ (1'059 fr. au total).</w:t>
      </w:r>
    </w:p>
    <w:p>
      <w:r>
        <w:rPr>
          <w:b/>
        </w:rPr>
        <w:t>E. 2.2.6</w:t>
      </w:r>
    </w:p>
    <w:p>
      <w:r>
        <w:t>L'appelant reproche au Tribunal d'avoir fixé à 1'600 fr. le montant mensuel total des contributions d'entretien de ses enfants, soit à un montant nettement plus élevé que leurs charges mensuelles totales, qu'il est seul à devoir assumer, en sus de la moitié de leurs frais extraordinaires et des allocations familiales acquises à l'intimée, cela en dépit de la garde alternée. Le disponible mensuel de l'appelant est de 1'513 fr. (6'500 fr. – 4'987 fr.) alors que celui de de l'intimée est de 548 fr. (4'615 fr. – 4'067 fr.). Le disponible des parties totalisant 2'061 fr. (1'513 fr. + 548 fr.), celui de l'intimée correspond à 26,6% de ce chiffre et celui de l'appelant à 73,4%. La part de l'intimée à la prise en charge des charges des enfants est ainsi, eu égard à ces proportions et à la garde alternée, de 121 fr. pour C______, 127 fr., pour D______ et 33 fr. pour E______ (soit 281 fr. au total), respectivement, pour l'appelant, de 334 fr., 353 fr. et 92 fr. (soit 778 fr. au total), étant précisé que ces montants incluent un partage du montant de base selon les proportions indiquées, et non compte tenu de la part de prise en charge (soit 50% – 50%) dans la mesure où la mère dispose d'un solde qui ne lui permet même pas de s'acquitter de la moitié du montant de base de chaque enfant lorsqu'elle en a la garde, qui s'élève à 800 fr. au total. L'appelant assume déjà sa part d'entretien telle que calculée ci-dessus en s'acquittant, lorsque ses enfants sont chez lui, de la moitié de leurs bases mensuelles d'entretien s'élevant à 800 fr. (600 fr. + 600 fr. + 400 fr. = 1'600 fr.). Compte tenu de son disponible en 1'513 fr. et de sa prise en charge en nature de 800 fr., il dispose d'un excédent de 713 fr., auquel les enfants ont droit, à raison de 1/7 ème (soit deux parts pour chacun des parents, plus une part par enfant) de ce montant, soit 102 fr. Compte tenu de la garde alternée instaurée, la moitié de ce montant représente 51 fr., lequel doit être alloué aux enfants lorsqu'ils sont auprès de leur mère, étant précisé que l'autre moitié leur profite lorsqu'ils sont chez leur père. Il ne sera pas tenu compte du faible disponible de la mère, qui résulte du fait qu'elle travaille à un taux d'occupation supérieur à celui qui pourrait être exigé d'elle eu égard à l'âge du cadet. Ce montant de 51 fr. étant inférieur aux conclusions prises par l'appelant, il se justifie de lui donner acte de son engagement de payer, à titre de contributions mensuelle d'entretien, par enfant, par mois et d'avance, allocations familiales ou d'études non comprises, le montant de 150 fr. jusqu'à l'âge de 10 ans, de 300 fr. jusqu'à l'âge de 15 ans et de 350 fr. jusqu'à la majorité, voire au-delà si l'enfant poursuit une formation professionnelle ou des études sérieuses et régulières et le l'y condamner, en tant que de besoin. L'intimée assumera également en nature la moitié des bases mensuelles d'entretien des enfants, soit 800 fr., ainsi que leurs autres charges mensuelles, arrondies à 600 fr. pour les trois enfants, ce qui représente une charge mensuelle totale de 1'400 fr. Comme sa participation est limitée au montant de 281 fr., il reste un solde de 1'119 fr., lequel sera couvert par les allocations familiales qu'elle perçoit, en 1'141 fr. In fine , elle disposera encore d'un montant d'un peu moins de 300 fr., en chiffres ronds (548 fr. – 281 fr.). En définitive, au vu de ce qui précède, le chiffre 12 du dispositif du jugement entrepris sera annulé et modifié en conséquence.</w:t>
      </w:r>
    </w:p>
    <w:p>
      <w:r>
        <w:rPr>
          <w:b/>
        </w:rPr>
        <w:t>E. 3</w:t>
      </w:r>
    </w:p>
    <w:p>
      <w:r>
        <w:t>L'appelant reproche au Tribunal de lui avoir alloué seulement la somme de 30'000 fr. (env. 30%) au titre du partage de la prestation de sortie accumulée par l'intimée durant le mariage (105'438 fr. 45) au lieu de la moitié de celle-ci, soit un montant de 52'719 fr. 25. A son sens, sa qualité d'indépendant ne justifiait pas de déroger au principe de l'art. 122 CC, car les couples ne disposant que d'un seul salaire seraient dans la même situation, ce qui ne reflèterait pas la volonté du législateur. Il ajoute que les critères retenus par le premier juge (situation financière similaire des parties et possibilité pour l'intimée de se constituer une prévoyance adéquate en raison de ses 10 ans de moins que lui) sont à son avis de nature à augmenter sa part de prévoyance, ce d'autant plus que l'intimée pourra aussi augmenter son taux d'activité pour améliorer sa prévoyance.</w:t>
      </w:r>
    </w:p>
    <w:p>
      <w:r>
        <w:rPr>
          <w:b/>
        </w:rPr>
        <w:t>E. 3.1.1</w:t>
      </w:r>
    </w:p>
    <w:p>
      <w:r>
        <w:t>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w:t>
      </w:r>
    </w:p>
    <w:p>
      <w:r>
        <w:rPr>
          <w:b/>
        </w:rPr>
        <w:t>E. 3.1.2</w:t>
      </w:r>
    </w:p>
    <w:p>
      <w:r>
        <w:t>L'art. 124b CC règle les conditions auxquelles le juge ou les époux peuvent déroger au principe du partage par moitié des avoirs de prévoyance professionnelle prévu à l'art. 123 CC. Il s'agit d'une disposition d'exception, qui ne doit pas vider de sa substance le principe du partage par moitié de la prévoyance professionnelle (arrêt du Tribunal fédéral 5A_277/2021 du 30 novembre 2021 consid. 7.1.2 et les références citées). Il n'en demeure pas moins que le juge dispose en la matière d'un pouvoir d'appréciation (art. 4 CC; arrêt du Tribunal fédéral 5A_277/2021 du 30 novembre 2021 consid. 7.1.2 et les références citées).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2) des besoins de prévoyance de chacun des époux, compte tenu notamment de leur différence d'âge. Le texte de l'art. 124b al. 2 CC prévoit ainsi la possibilité pour le juge de s'écarter du principe par moitié pour de justes motifs et mentionne deux catégories d'exemples à ses chiffres 1 et 2, sans toutefois préciser plus avant cette notion (ATF 145 III 56 consid. 5.3.2; arrêts du Tribunal fédéral 5A_277/2021 du 30 novembre 2021 consid. 7.1;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5A_729/2020 du 4 février 2021 consid. 8.1). Le partage est donc inéquitable lorsque l'un des époux subit des désavantages flagrants par rapport à l'autre conjoint (ATF 145 III 56 consid. 5.4; arrêts du Tribunal fédéral 5A_277/2021 du 30 novembre 2021 consid. 7.1; 5A_106/2021 du 17 mai 2021 consid. 3.1; 5A_194/2020 du 5 novembre 2020 consid. 4.1.1).</w:t>
      </w:r>
    </w:p>
    <w:p>
      <w:r>
        <w:rPr>
          <w:b/>
        </w:rPr>
        <w:t>E. 3.1.3</w:t>
      </w:r>
    </w:p>
    <w:p>
      <w:r>
        <w:t>Sous l'ancien droit du partage des avoirs de prévoyance professionnelle, le Tribunal fédéral avait considéré que le partage pouvait être refusé lorsqu'il s'avérait " manifestement " inéquitable, selon la teneur de l'art. 123 al. 2 aCC, pour des motifs tenant à la liquidation du régime matrimonial ou à la situation économique des époux après le divorce, mais également en cas d'abus de droit (art. 2 al. 2 CC; (ATF 133 III 497 , JdT 2008 I 184). Le partage était ainsi " manifestement " inéquitable lorsque les époux étaient séparés de biens et que l'un d'entre eux, salarié, disposait d'un revenu et avait accumulé obligatoirement un deuxième pilier alors que l'autre, qui exerçait une activité à titre indépendant, s'était constitué un troisième pilier d'un certain montant ou se portait beaucoup mieux financièrement (arrêts du Tribunal fédéral 5A_106/2021 du 17 mars 2021 consid. 3.1; 5A_194/2020 du 5 novembre 2020 consid. 4.1.1; 5A_945/2016 du 19 mai 2017 consid. 3.1.2; Message du 29 mai 2013 concernant la révision du Code civil suisse [Partage de la prévoyance professionnelle en cas de divorce], FF 2013 4341, p. 4370 s. ad art. 124b CC). Il en allait de même du conjoint qui avait financé les études de son conjoint, lui donnant ainsi la possibilité de se constituer à l'avenir une meilleure prévoyance que la sienne (arrêts du Tribunal fédéral 5A_945/2016 du 19 mai 2017 consid. 3.1.2; 5A_398/2015 du 24 novembre 2015 consid. 4.1; 5A_220/2015 du 11 novembre 2015 consid. 5.2). Le partage constituait un " abus de droit " lorsque les époux avaient contracté un mariage de complaisance, n'avaient jamais fait ménage commun ou n'avaient jamais eu l'intention de former une communauté conjugale (arrêt du Tribunal fédéral 5A_945/2016 du 19 mai 2017 consid. 3.1.2) ou lorsque le créancier de la moitié des avoirs de prévoyance était l'auteur d'une infraction pénale grave à l'encontre de son conjoint (arrêt du Tribunal fédéral 5A_945/2016 du 19 mai 2017 consid. 3.1.2).</w:t>
      </w:r>
    </w:p>
    <w:p>
      <w:r>
        <w:rPr>
          <w:b/>
        </w:rPr>
        <w:t>E. 3.1.4</w:t>
      </w:r>
    </w:p>
    <w:p>
      <w:r>
        <w:t>A la suite de l'adoption du nouvel art. 124b al. 2 CC, entré en vigueur le 1 er janvier 2017 et l'abandon de l'adverbe " manifestement " inéquitable, le Tribunal fédéral a revisité sa jurisprudence (ATF 145 III 56 ) et a admis que le juge du divorce avait désormais la possibilité notamment de tenir compte, dans son appréciation (art. 4 CC; arrêt du Tribunal fédéral 5A_277/2021 du 30 novembre 2021 consid. 7.1.2 et les références citées), de ce qu'un époux avait gravement violé son obligation d'entretien, au point qu'un juste motif pouvait être retenu au sens de l'art. 124b al. 2 CC (ATF 145 III 56 consid. 5.4 et les références citées).</w:t>
      </w:r>
    </w:p>
    <w:p>
      <w:r>
        <w:rPr>
          <w:b/>
        </w:rPr>
        <w:t>E. 3.2</w:t>
      </w:r>
    </w:p>
    <w:p>
      <w:r>
        <w:t>En l'espèce, les parties se sont mariées sous le régime matrimonial de la séparation de biens et l'appelant, en raison de son statut d'indépendant, n'a pas dû cotiser au 2 ème pilier. En dépit de son investissement à plein temps dans son entreprise individuelle et la perception de revenus mensuels nets moyens de 6'500 fr., il n'a acquis qu'un 3 ème pilier modique, dont les valeurs totales de rachat, de 30'584 fr. en 2016, se sont réduites à 13'814 fr. en 2021. Pour sa part, l'intimée, malgré son activité professionnelle exercée à temps partiel en raison de son implication auprès de ses trois enfants, et de son revenu mensuel net modeste, a certes été en mesure d'accumuler durant le mariage une prestation de sortie de 105'438 fr. 45, mais elle s'est également endettée, à hauteur de 24'890 fr., en contractant plusieurs crédits à la consommation. En raison du statut d'indépendant de l'appelant, l'intimée ne dispose d'aucune prétention à l'encontre du précité, puisqu'il n'a pas été obligé de se constituer un avoir de prévoyance professionnelle durant le mariage. Or, si tel avait été le cas, il aurait accumulé une prestation de sortie durant le mariage. De plus, en raison du régime matrimonial de la séparation de biens choisi par les parties, l'intimée ne peut articuler aucune prétention sur la valeur vénale de l'école de danse de l'appelant, certes inconnue, mais qui n'est certainement pas nulle. Enfin, s'il est vrai que l'intimée, âgée de 46 ans, cotisera plus longtemps à la prévoyance professionnelle que l'appelant, âgé de 55 ans, il convient néanmoins de nuancer cet argument. En effet, ce dernier est déjà en mesure d'améliorer sa prévoyance professionnelle, puisqu'il exerce une activité lucrative à plein temps, pour un revenu hypothétique de 6'500 fr. En revanche, l'intimée, actuellement, ne cotise que sur la base d'une activité professionnelle exercée à temps partiel et un revenu inférieur (4'615 fr.) à celui de l'appelant. Ce n'est qu'en ______ 2030, lorsque le benjamin sera âgé de 16 ans, qu'il pourra être attendu d'elle qu'elle travaille à plein temps et perçoive un salaire augmenté en conséquence, lui permettant de cotiser dans des conditions proches de celles de l'appelant. Ainsi, même si, comme le Tribunal l'a relevé, la situation de l'appelant n'est pas florissante, les circonstances particulières du cas d'espèce justifiaient de déroger au partage par moitié de la seule prestation de sortie accumulée durant le mariage par l'intimée. Le Tribunal n'a ainsi pas mésusé de son pouvoir d'appréciation en partageant ladite prestation à concurrence de 30% seulement environ. L'appel n'est pas fondé sur ce point. Les chiffres 19 et 20 du dispositif du jugement entrepris seront, dès lors, confirmés.</w:t>
      </w:r>
    </w:p>
    <w:p>
      <w:r>
        <w:rPr>
          <w:b/>
        </w:rPr>
        <w:t>E. 4.1</w:t>
      </w:r>
    </w:p>
    <w:p>
      <w:r>
        <w:t>Si l'instance d'appel statue à nouveau, elle se prononce sur les frais de la première instance (art. 318 al. 3 CPC). En l'espèce, ni la quotité, ni la répartition des frais de première instance, ni la renonciation à allouer des dépens n'ont été remis en cause en appel et ceux-ci ont été arrêtés conformément aux règles légales (art. 95, 96, 104 al. 1, 107 al. 1 let. c CPC; art. 30 RTFMC). Compte tenu de la nature familiale du litige, la modification du jugement attaqué ne justifie pas que la répartition des frais soit revue. Par conséquent, le jugement entrepris sera confirmé sur ce point.</w:t>
      </w:r>
    </w:p>
    <w:p>
      <w:r>
        <w:rPr>
          <w:b/>
        </w:rPr>
        <w:t>E. 4.2</w:t>
      </w:r>
    </w:p>
    <w:p>
      <w:r>
        <w:t>Les frais judiciaires de la procédure d’appel seront fixés à 1000 fr. (art. 30 et 35 RTFMC). Vu la nature familiale et l'issue du litige, ils seront répartis à parts égales entre les parties, soit 500 fr. à charge de chacune (art. 107 al. 1 let. c CPC). L'appelant plaidant au bénéfice de l'assistance judiciaire, sa part des frais sera provisoirement supportée par l'Etat de Genève, qui pourra en demander le remboursement ultérieurement (art. 123 CPC et 19 RAJ). L'intimée sera condamnée à verser le montant de 500 fr. à l'Etat de Genève. Pour les mêmes motifs, chaque partie supportera ses propres dépens d'appel (art. 107 al. 1 let. c CPC). * * * * * PAR CES MOTIFS, La Chambre civile : A la forme : Déclare recevable l'appel interjeté le 16 février 2023 par A______ contre les chiffres 12, 19 et 20 du dispositif du jugement JTPI/15229/2022 rendu le 21 décembre 2022 par le Tribunal de première instance dans la cause C/21594/2020-7. Au fond : Annule le chiffre 12 du dispositif du jugement attaqué et, statuant à nouveau sur ce point : Donne acte à A______ de son engagement de verser à B______, par enfant, par mois et d'avance, allocations familiales ou d'études non comprises, les montants suivants : -       150 fr. jusqu'à l'âge de 10 ans;![endif]&gt;![if&gt; -       300 fr. jusqu'à l'âge de 15 ans et![endif]&gt;![if&gt; -       350 fr. jusqu'à la majorité, voire au-delà si l'enfant poursuit une formation professionnelle ou des études sérieuses et régulières.![endif]&gt;![if&gt; L'y condamne en tant que de besoin. Dit que les allocations familiales ou d'études pour C______, D______ et E______ reviendront à B______. Confirme le jugement querellé pour le surplus. Déboute les parties de toutes autres conclusions. Sur les frais : Arrête les frais judiciaires d'appel à 1'000 fr. et les met à charge des parties à raison d'une moitié chacune. Dit que les frais judiciaires d'appel à charge de A______ sont provisoirement supportés par l'Etat de Genève. Condamne B______ à verser 500 fr. à l'Etat de Genève, soit pour lui les Services financiers du Pouvoir judiciaire. Dit qu'il n'est pas alloué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