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C/2149/2020 vom 19. April 2022</w:t>
      </w:r>
    </w:p>
    <w:p>
      <w:r>
        <w:t>GE Cour de justice, 2022-04-19, FR</w:t>
      </w:r>
    </w:p>
    <w:p>
      <w:r>
        <w:rPr>
          <w:b/>
        </w:rPr>
        <w:t xml:space="preserve">Quelle: </w:t>
      </w:r>
      <w:r>
        <w:t>https://mcp.opencaselaw.ch/entscheid/ge_gerichte_C_2149_2020</w:t>
      </w:r>
    </w:p>
    <w:p>
      <w:r>
        <w:t>FR: GE_GERICHTE C/2149/2020 du 19 avril 2022</w:t>
      </w:r>
    </w:p>
    <w:p>
      <w:r>
        <w:t>IT: GE_GERICHTE C/2149/2020 del 19 aprile 2022</w:t>
      </w:r>
    </w:p>
    <w:p>
      <w:pPr>
        <w:pStyle w:val="Heading2"/>
      </w:pPr>
      <w:r>
        <w:t>Erwägungen</w:t>
      </w:r>
    </w:p>
    <w:p>
      <w:r>
        <w:rPr>
          <w:b/>
        </w:rPr>
        <w:t>E. 3</w:t>
      </w:r>
    </w:p>
    <w:p>
      <w:r>
        <w:t>L'appelant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 ème éd. 2019, p. 609-610) ou jusqu'à la fin des travaux de construction (CARRON, Commentaire du contrat de travail, 2013, N. 9 ad art. 334 CO)..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 compte des déclarations des parties et des circonstances, dont l'établissement relève du fait (ATF 133 III 675 consid. 3.3; 132 III 626 consid. 3.1).</w:t>
      </w:r>
    </w:p>
    <w:p>
      <w:r>
        <w:rPr>
          <w:b/>
        </w:rPr>
        <w:t>E. 3.2</w:t>
      </w:r>
    </w:p>
    <w:p>
      <w:r>
        <w:t>En l'espèce, les six employés ont allégué qu'ils avaient été engagés par l'intimée pour une durée indéterminée. Cependant, les éléments recueillis par le Tribunal établissent que tel n'était pas le cas. Interrogé par le Tribunal, l'appelant a lui-même déclaré que E______ avait indiqué "depuis le début" aux employés que les contrats prendraient fin à la fin des chantiers, même s'il n'avait pas donné de date exacte. De plus, l'appelant a déclaré, sans évoquer un licenciement, que son contrat avait pris fin le 7 septembre 2019. Lors de son interrogatoire par le Tribunal, H______ a déclaré qu'il n'avait pas été licencié et qu'il avait travaillé du 17 juillet au 6 septembre 2019, ce qui correspondait à la période des vacances scolaires. Le contrat du témoin L______ a pris fin au terme des travaux et celui du témoin M______, qui n'a évoqué aucun licenciement, a duré du mois de juillet au 7 septembre 2019. Ces éléments permettent de retenir que les parties étaient en mesure de connaître de façon suffisamment précise la fin des rapports de travail déjà au moment de la conclusion du contrat. C'est ainsi à juste titre que le Tribunal a retenu qu'elles étaient liées par un contrat de durée déterminée et qu'il a rejeté les prétentions de l'appelant visant la période postérieure à son dernier jour de travail.</w:t>
      </w:r>
    </w:p>
    <w:p>
      <w:r>
        <w:rPr>
          <w:b/>
        </w:rPr>
        <w:t>E. 4</w:t>
      </w:r>
    </w:p>
    <w:p>
      <w:r>
        <w:t>L'appelant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w:t>
      </w:r>
    </w:p>
    <w:p>
      <w:r>
        <w:rPr>
          <w:b/>
        </w:rPr>
        <w:t>E. 4.1</w:t>
      </w:r>
    </w:p>
    <w:p>
      <w:r>
        <w:t>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 la dernière phrase de l’art. 357 al. 2 CO, les dérogations stipulées en faveur des travailleurs sont valables.</w:t>
      </w:r>
    </w:p>
    <w:p>
      <w:r>
        <w:rPr>
          <w:b/>
        </w:rPr>
        <w:t>E. 4.1.1</w:t>
      </w:r>
    </w:p>
    <w:p>
      <w:r>
        <w:t>La Convention nationale du secteur principal de la construction en Suisse, CN 2012-2015, conclue le 28 mars 2012, a fait l’objet d’un arrêté d’extension du Conseil fédéral du 15 janvier 2013 par lequel la CCT a été déclarée de force obligatoire depuis le 1 er février 2013 jusqu’au 31 décembre 2015. La CCT a ensuite été renégociée entre les différents partenaires et une convention modifiée, la CN 2016-2018, est entrée en vigueur le 1 er janvier 2016. Le Conseil fédéral a déclaré la CN 2016-2018 de force obligatoire à compter du 1 er juillet 2016 jusqu’au 31 décembre 2018, par arrêté du 14 juin 2016, puis du 1 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w:t>
      </w:r>
    </w:p>
    <w:p>
      <w:r>
        <w:rPr>
          <w:b/>
        </w:rPr>
        <w:t>E. 4.1.2</w:t>
      </w:r>
    </w:p>
    <w:p>
      <w:r>
        <w:t>La Convention collective romande du second œuvre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w:t>
      </w:r>
    </w:p>
    <w:p>
      <w:r>
        <w:rPr>
          <w:b/>
        </w:rPr>
        <w:t>E. 4.1.3</w:t>
      </w:r>
    </w:p>
    <w:p>
      <w:r>
        <w:t>L'art. 2bis CN 2019-2022 détermine le champ d'application des entreprises mixtes, c'est-à-dire les entreprises qui ne sont pas actives dans un ou plusieurs domaines régis exclusivement par l'une des deux CCT susmentionnées. A cette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 er juillet 2013 consid. 3.1).</w:t>
      </w:r>
    </w:p>
    <w:p>
      <w:r>
        <w:rPr>
          <w:b/>
        </w:rPr>
        <w:t>E. 4.1.4</w:t>
      </w:r>
    </w:p>
    <w:p>
      <w:r>
        <w:t>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w:t>
      </w:r>
    </w:p>
    <w:p>
      <w:r>
        <w:rPr>
          <w:b/>
        </w:rPr>
        <w:t>E. 4.1.5</w:t>
      </w:r>
    </w:p>
    <w:p>
      <w:r>
        <w:t>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w:t>
      </w:r>
    </w:p>
    <w:p>
      <w:r>
        <w:rPr>
          <w:b/>
        </w:rPr>
        <w:t>E. 4.1.6</w:t>
      </w:r>
    </w:p>
    <w:p>
      <w:r>
        <w:t>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w:t>
      </w:r>
    </w:p>
    <w:p>
      <w:r>
        <w:rPr>
          <w:b/>
        </w:rPr>
        <w:t>E. 4.2</w:t>
      </w:r>
    </w:p>
    <w:p>
      <w:r>
        <w:t>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H______ et G______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l'appelant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E______ - qui a qualifié les travaux en question de "travaux de démontage" sans autre explication et en contradiction avec l'organigramme susmentionné - n'étant pas suffisante. Enfin, l'intimée ne conteste pas que les pièces nouvelles de l'appelant corroborent son assujettissement à la CN 2019-2022 invoquée par les six employés. Au vu de ce qui précède, il y a lieu de retenir que l'intimée est une entreprise mixte non authentique, dont l'activité relevait de manière prépondérante de la CN 2019-2022, même si une partie de son activité (plâtrerie et peinture sur des chantiers situés à Genève) pouvait ressortir du champ d'application de la CCT-SOR. Il sera donc fait application de la CN 2019-2022 et de ses annexes.</w:t>
      </w:r>
    </w:p>
    <w:p>
      <w:r>
        <w:rPr>
          <w:b/>
        </w:rPr>
        <w:t>E. 4.2.1</w:t>
      </w:r>
    </w:p>
    <w:p>
      <w:r>
        <w:t>L'appelant reproche au Tribunal de s'être fondé uniquement sur la liste déposée par le témoin L______ et d'avoir ainsi retenu que l'intimée ne lui devait, pour sa période d'activité, que le salaire afférent à 230 heures de travail. En première instance, l'intimée n'a pas contesté les allégations de l'appelant selon lesquelles il avait effectué 25 heures en juillet 2019, 213 heures en août 2019 et 50 heures en septembre 2019, soit au total 288 heures. L'intimée n'a en outre pas tenu un registre des durées quotidienne et hebdomadaire du travail fourni par les employés. La liste établie par le "responsable de la supervision des travaux" ne mentionne que le total des heures effectuées par l'appelant durant la période du 29 juillet au 1 er septembre 2019 (243,5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à l'appelant s'élève ainsi à 7'574 fr. 40 bruts (288 heures x 26 fr. 30), A ce montant, il faut ajouter une indemnité de 10,6 % pour les vacances (art. 34 al. 1 et 50 al. 3 CN 2019-2022), soit 802 fr. 90 bruts (10,6 % de 7'574 fr. 40), ainsi qu'un montant correspondant à 8,3 % du salaire déterminant à titre de 13 ème salaire (art. 50 al. 2 CN 2019-2022 et annexe 8 à la convention), soit 695 fr. 30 ([7'574 fr. 40 + 802 fr. 90] x 8,3 %). Le total dû à l'employé est ainsi de 9'072 fr. 60 bruts plus intérêts moratoires à 5 % dès le 1 er octobre 2019 (date non contestée), sous déduction de la somme nette de 500 fr. Le chiffre 3 du dispositif du jugement attaqué sera modifié en conséquence.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 er al. 2 de la Convention complémentaire "Genève", en vigueur, comme l'extension, depuis le 1 er juin 2017). Le total dû à l'employé est donc de 650 fr. (25 fr. x 26 jours, le nombre de jours déterminants n'étant pas contesté, comme l'a retenu le Tribunal), auquel il sied d'ajouter la somme nette non contestée de 100 fr. due à titre de remboursement des frais d'essence. Le chiffre 5 du dispositif du jugement attaqué sera modifié en conséquence.</w:t>
      </w:r>
    </w:p>
    <w:p>
      <w:r>
        <w:rPr>
          <w:b/>
        </w:rPr>
        <w:t>E. 5</w:t>
      </w:r>
    </w:p>
    <w:p>
      <w:r>
        <w:t>La valeur litigieuse étant inférieure à 75'000 fr., respectivement à 50'000 fr., la procédure est gratuite tant pour la procédure de première que de seconde instance (art. 69 et 71 RTFMC). Aucun dépens n'est alloué s'agissant d'un litige de droit du travail (art. 22 al. 2 LaCC). * * * * * PAR CES MOTIFS, La Chambre des prud'hommes, groupe 1 : A la forme : Déclare recevable l'appel formé le 13 septembre 2021 par A______ contre les chiffres 3 et 5 du dispositif du jugement JTPH/295/2021 rendu le 4 août 2021 par le Tribunal des prud'hommes dans la cause C/2149/2020-1. Au fond : Annule les chiffre 3 et 5 du dispositif du jugement attaqué et, statuant à nouveau sur ces points : Condamne C______ GMBH à verser à A______ la somme brute de 9'072 fr. 60 plus intérêts moratoires à 5 % dès le 1 er octobre 2019, sous déduction de la somme nette de 500 fr. Condamne C______ GMBH à verser à A______ la somme nette de 750 fr. plus intérêts moratoires à 5 % dès le 1 er octobre 2019. Confirme le jugement attaqué pour le surplus. Déboute les parties de toutes autres conclusions. Sur les frais : Dit que la procédure est gratuite. Dit qu'il n'est pas alloué de dépens d'appel. Siégeant : Monsieur Ivo BUETTI, président; Monsieur Christian PITTET, juge employeur; Monsieur Yves DUPRE, juge salarié;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