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C/2148/2020 vom 19. April 2022</w:t>
      </w:r>
    </w:p>
    <w:p>
      <w:r>
        <w:t>GE Cour de justice, 2022-04-19, FR</w:t>
      </w:r>
    </w:p>
    <w:p>
      <w:r>
        <w:rPr>
          <w:b/>
        </w:rPr>
        <w:t xml:space="preserve">Quelle: </w:t>
      </w:r>
      <w:r>
        <w:t>https://mcp.opencaselaw.ch/entscheid/ge_gerichte_C_2148_2020</w:t>
      </w:r>
    </w:p>
    <w:p>
      <w:r>
        <w:t>FR: GE_GERICHTE C/2148/2020 du 19 avril 2022</w:t>
      </w:r>
    </w:p>
    <w:p>
      <w:r>
        <w:t>IT: GE_GERICHTE C/2148/2020 del 19 aprile 2022</w:t>
      </w:r>
    </w:p>
    <w:p>
      <w:pPr>
        <w:pStyle w:val="Heading2"/>
      </w:pPr>
      <w:r>
        <w:t>Erwägungen</w:t>
      </w:r>
    </w:p>
    <w:p>
      <w:r>
        <w:rPr>
          <w:b/>
        </w:rPr>
        <w:t>E. 4</w:t>
      </w:r>
    </w:p>
    <w:p>
      <w:r>
        <w:t>Le recourant fait grief au Tribunal d'avoir déterminé son salaire sur la base de la Convention collective romande du second oeuvre et d'avoir écarté l'application de la Convention nationale du secteur principal de la construction en Suisse et de son annexe 18, soit la Convention complémentaire "Genève". Il réclame à l'intimée un salaire horaire de 30 fr., subsidiairement de 26 fr. 30.</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 er février 2013 jusqu’au 31 décembre 2015. La CCT a ensuite été renégociée entre les différents partenaires et une convention modifiée, la CN 2016-2018, est entrée en vigueur le 1 er janvier 2016. Le Conseil fédéral a déclaré la CN 2016-2018 de force obligatoire à compter du 1 er juillet 2016 jusqu’au 31 décembre 2018, par arrêté du 14 juin 2016, puis du 1 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œuvre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 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H______ et G______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K______ montrent des ouvriers qui exécutent des travaux de gros œuvre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D______ - qui a qualifié les travaux en question de "travaux de démontage" sans autre explication et en contradiction avec l'organigramme susmentionné - n'étant pas suffisante. Au vu de ce qui précède, il y a lieu de retenir que l'intimée est une entreprise mixte non authentique, dont l'activité relevait de manière prépondérante de la CN 2019-2022, même si une partie de son activité, et notamment celle exercée par le recourant (plâtrerie et peinture sur des chantiers situés à Genève) pouvait ressortir du champ d'application de la CCT-SOR. Il sera donc fait application de la CN 2019-2022 et de ses annexes.</w:t>
      </w:r>
    </w:p>
    <w:p>
      <w:r>
        <w:rPr>
          <w:b/>
        </w:rPr>
        <w:t>E. 4.2.1</w:t>
      </w:r>
    </w:p>
    <w:p>
      <w:r>
        <w:t>Le recourant n'établit pas que les parties auraient convenu d'un salaire horaire brut de 30 fr. Il n'est pas contesté qu'en 2019, le salaire horaire d'un "ouvrier de la construction", soit un "travailleur de la construction sans connaissances professionnelles" (classe de salaire C) à Genève ("zone rouge") était de 26 fr. 30 bruts (art 41 al. 2 CN 2019-2022). Le montant dû au recourant s'élève ainsi à 4'497 fr. 30 bruts (171 heures x 26 fr. 30). A ce montant, il faut ajouter une indemnité de 10,6 % pour les vacances (art. 34 al. 1 et 50 al. 3 CN 2019-2022), soit 476 fr. 70 bruts (10,6 % de 4'497 fr. 30), ainsi qu'un montant correspondant à 8,3 % du salaire déterminant à titre de 13 ème salaire (art. 50 al. 2 CN 2019-2022 et annexe 8 à la convention), soit 412 fr. 85 ([4'497 fr. 30 + 476 fr. 70] x 8,3 %). Le total dû à l'employé est ainsi de 5'386 fr. 85 bruts plus intérêts moratoires à 5 % dès le 1 er octobre 2019 (date non contestée).</w:t>
      </w:r>
    </w:p>
    <w:p>
      <w:r>
        <w:rPr>
          <w:b/>
        </w:rPr>
        <w:t>E. 4.2.2</w:t>
      </w:r>
    </w:p>
    <w:p>
      <w:r>
        <w:t>Comme le Tribunal l'a retenu à juste titre, le recourant, qui reconnaît désormais avoir reçu la somme de 4'000 fr. le 12 août 2019, n'a pas apporté la preuve, qui lui incombait, de la restitution de ce montant. De plus, en première instance, le recourant faisait état d'une somme qu'il avait reçue pour acheter de la peinture avant de commencer à travailler, donc avant le 1 er août 2019. Il ne peut donc s'agir du montant de 4'000 fr., lequel lui a été versé alors qu'il travaillait déjà depuis une dizaine de jours. Ce montant sera donc porté en déduction du total précité.</w:t>
      </w:r>
    </w:p>
    <w:p>
      <w:r>
        <w:rPr>
          <w:b/>
        </w:rPr>
        <w:t>E. 4.2.3</w:t>
      </w:r>
    </w:p>
    <w:p>
      <w:r>
        <w:t>Le chiffre 3 du dispositif du jugement attaqué sera modifié dans le sens exposé ci-dessus.</w:t>
      </w:r>
    </w:p>
    <w:p>
      <w:r>
        <w:rPr>
          <w:b/>
        </w:rPr>
        <w:t>E. 4.2.4</w:t>
      </w:r>
    </w:p>
    <w:p>
      <w:r>
        <w:t>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 er al. 2 de la Convention complémentaire "Genève", en vigueur, comme l'extension, depuis le 1 er juin 2017). Le total dû à l'employé est donc de 475 fr. (25 fr. x 19 jours, le nombre de jours déterminants n'étant pas contesté, comme l'a retenu le Tribunal).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 PAR CES MOTIFS, La Chambre des prud'hommes, groupe 1 : A la forme : Déclare recevable le recours formé le 13 septembre 2021 par A______ contre les chiffres 3 et 5 du dispositif du jugement JTPH/294/2021 rendu le 4 août 2021 par le Tribunal des prud'hommes dans la cause C/2148/2020-1. Au fond : Annule les chiffre 3 et 5 du dispositif du jugement attaqué et, statuant à nouveau sur ces points : Condamne C______ GMBH à verser à A______ la somme brute de 5'386 fr. 85 plus intérêts moratoires à 5 % dès le 1 er septembre 2019, sous déduction de la somme nette de 4'000 fr. versée le 12 août 2019. Condamne C______ GMBH à verser à A______ la somme nette de 475 fr. plus intérêts moratoires à 5 % dès le 1 er septembre 2019. Confirme le jugement attaqué pour le surplus. Déboute les parties de toutes autres conclusions. Sur les frais : Dit que la procédure est gratuite. Dit qu'il n'est pas alloué de dépens de recours. Siégeant : Monsieur Ivo BUETTI, président; Monsieur Christian PITTET, juge employeur; Monsieur Yves DUPRE,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