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C/2140/2020 vom 3. Februar 2022</w:t>
      </w:r>
    </w:p>
    <w:p>
      <w:r>
        <w:t>GE Cour de justice, 2022-02-03, FR</w:t>
      </w:r>
    </w:p>
    <w:p>
      <w:r>
        <w:rPr>
          <w:b/>
        </w:rPr>
        <w:t xml:space="preserve">Quelle: </w:t>
      </w:r>
      <w:r>
        <w:t>https://mcp.opencaselaw.ch/entscheid/ge_gerichte_C_2140_2020</w:t>
      </w:r>
    </w:p>
    <w:p>
      <w:r>
        <w:t>FR: GE_GERICHTE C/2140/2020 du 3 février 2022</w:t>
      </w:r>
    </w:p>
    <w:p>
      <w:r>
        <w:t>IT: GE_GERICHTE C/2140/2020 del 3 febbraio 2022</w:t>
      </w:r>
    </w:p>
    <w:p>
      <w:pPr>
        <w:pStyle w:val="Heading2"/>
      </w:pPr>
      <w:r>
        <w:t>Volltext</w:t>
      </w:r>
    </w:p>
    <w:p>
      <w:r>
        <w:t>Genève Cour de Justice (Cour civile) Chambre des baux et loyers 03.02.2022 C/2140/2020</w:t>
      </w:r>
    </w:p>
    <w:p>
      <w:r>
        <w:t>C/2140/2020 ACJC/169/2022 du 03.02.2022 sur JTBL/1020/2021 ( OBL ) Par ces motifs RÉPUBLIQUE ET CANTON DE GENÈVE POUVOIR JUDICIAIRE C/2140/2020 ACJC/169/2022 ARRÊT DE LA COUR DE JUSTICE Chambre des baux et loyers DU JEUDI 3 FEVRIER 2022 Entre A______ , sise ______[ZH], recourante contre un jugement rendu par le Tribunal des baux et loyers le 7 décembre 2021, comparant par Me David BENSIMON, avocat, rue du Rhône 100, 1204 Genève, en l'étude duquel elle fait élection de domicile, et Madame B______ et Madame C______ , domiciliées ______, Genève, intimées, représentées par l'ASLOCA, rue du Lac 12, case postale 6150, 1211 Genève 6, en les bureaux de laquelle elles font élection de domicile. Vu le jugement JTBL/1020/2021 du 7 décembre 2021, aux termes duquel le Tribunal des baux et loyers a réduit de 80% le loyer du studio au 3ème étage de l'immeuble sis 1______ à Genève pour les mois de septembre à novembre 2019 (ch. 1), donné acte à A______ de son engagement à verser à B______ et C______, prises conjointement et solidairement, la somme de 1'000 fr. (ch. 2), l'y a condamnée en tant que de besoin (ch. 3), a condamné A______ à verser à B______ et C______, prises conjointement et solidairement, la somme de 2'545 fr. 10. (ch. 4), a débouté les parties de toutes autres conclusions (ch. 5) et dit que la procédure était gratuite (ch. 6); Vu le recours formé le 28 janvier 2022 par A______, bailleresse, concluant à l'annulation du jugement précité et au déboutement de B______ et C______, locataires, de toutes leurs conclusions; Attendu EN FAIT que la recourante a conclu à titre préalable à la suspension du caractère exécutoire attaché au jugement entrepris; qu'elle fait valoir qu'à défaut, elle serait contrainte de payer les montants auxquels elle a été condamnée, sans avoir la certitude de pouvoir les récupérer si elle obtenait gain de cause à l'issue de la procédure; que son intérêt l'emporte sur celui des intimées à ne pas différer l'exécution; Que par courrier du 2 février 2022, les intimées ne se sont pas opposées à l'octroi de l'effet suspensif au recours; Considérant, EN DROIT , que la décision querellée est une ordonnance d'instruction (art. 124 CPC), susceptible du seul recours, recours dont la recevabilité est subordonnée à l'existence d'un préjudice difficilement réparable (art. 319 let. b ch. 2 CPC), la cognition de la Cour étant limitée à l'appréciation manifestement inexacte des faits et à la violation de la loi (art. 321 al. 2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Qu'en l'espèce, il sera fait droit à la requête, les intimées ne s'y opposant pas. * * * * * PAR CES MOTIFS, La Présidente de la Chambre des baux et loyers : Statuant sur la suspension de l'effet exécutoire : Admet la requête tendant à la suspension de l'effet exécutoire attaché au jugement JTBL/1020/2021 rendue le 7 décembre 2021 par le Tribunal des baux et loyers dans la cause C/2140/2020. Siégeant : Madame Pauline ERARD, présidente; Madame Maïté VALENTE, greffière.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