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C/20983/2013 vom 30. Mai 2014</w:t>
      </w:r>
    </w:p>
    <w:p>
      <w:r>
        <w:t>GE Cour de justice, 2014-05-30, FR</w:t>
      </w:r>
    </w:p>
    <w:p>
      <w:r>
        <w:rPr>
          <w:b/>
        </w:rPr>
        <w:t xml:space="preserve">Quelle: </w:t>
      </w:r>
      <w:r>
        <w:t>https://mcp.opencaselaw.ch/entscheid/ge_gerichte_C_20983_2013</w:t>
      </w:r>
    </w:p>
    <w:p>
      <w:r>
        <w:t>FR: GE_GERICHTE C/20983/2013 du 30 mai 2014</w:t>
      </w:r>
    </w:p>
    <w:p>
      <w:r>
        <w:t>IT: GE_GERICHTE C/20983/2013 del 30 maggio 2014</w:t>
      </w:r>
    </w:p>
    <w:p>
      <w:pPr>
        <w:pStyle w:val="Heading2"/>
      </w:pPr>
      <w:r>
        <w:t>Regeste</w:t>
      </w:r>
    </w:p>
    <w:p>
      <w:r>
        <w:t>MESURE PROVISIONNELLE; ASSEMBLÉE GÉNÉRALE; ANNULABILITÉ | CPC.317; CPC.261; CPC.262.C; CO.699; CO.698; CO.700; CO.703; CO.704; CO.706; CO.706b</w:t>
      </w:r>
    </w:p>
    <w:p>
      <w:pPr>
        <w:pStyle w:val="Heading2"/>
      </w:pPr>
      <w:r>
        <w:t>Erwägungen</w:t>
      </w:r>
    </w:p>
    <w:p>
      <w:r>
        <w:rPr>
          <w:b/>
        </w:rPr>
        <w:t>E. 2</w:t>
      </w:r>
    </w:p>
    <w:p>
      <w:r>
        <w:t>Selon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En l'espèce, l'appelant produit des pièces déjà fournies en première instance. Elles sont partantes recevables. L'intimé estime que les allégués de faits 12, 19, 30 et 31 de l'appelant ont été invoqués pour la première fois en appel et qu'ils sont par conséquent irrecevables. Or, les allégués de faits 12 et 19 correspondent respectivement aux allégués 32, 24 et 25 de la requête. L'allégué 12 est également contenu dans l'état de fait de la réponse de l'intimée (allégué ch. 30). S'agissant de la recevabilité des allégués de faits nouveaux 30 et 31 ainsi que des allégués nouveaux 25 et 26, cette question sera traitée ci-après (consid. 3.5).</w:t>
      </w:r>
    </w:p>
    <w:p>
      <w:r>
        <w:rPr>
          <w:b/>
        </w:rPr>
        <w:t>E. 3</w:t>
      </w:r>
    </w:p>
    <w:p>
      <w:r>
        <w:t>L'appelant se plaint de ce que le Tribunal a considéré que la décision de réduction et d'augmentation du capital-actions prise par l'assemblée générale le 21 août 2013 était valable.</w:t>
      </w:r>
    </w:p>
    <w:p>
      <w:r>
        <w:rPr>
          <w:b/>
        </w:rPr>
        <w:t>E. 3.1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let. c CO, le tribunal peut ordonner toute mesure provisionnelle propre à prévenir ou à faire cesser le préjudice, notamment donner un ordre à une autorité qui tient un registre.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KOFMEL EHRENZELLER, KuKo-ZPO, 2010, n. 8 zu art. 261; HUBER, Kommentar zur schweizerischen Zivilprozessordnung, 2010, n. 20 zu art. 261).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w:t>
      </w:r>
    </w:p>
    <w:p>
      <w:r>
        <w:rPr>
          <w:b/>
        </w:rPr>
        <w:t>E. 3.2</w:t>
      </w:r>
    </w:p>
    <w:p>
      <w:r>
        <w:t>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Selon l'art. 700 al. 3 CO, aucune décision ne peut être prise sur des objets qui n'ont pas été dûment portés à l'ordre du jour, à l'exception des propositions déposées par un actionnaire dans le but de convoquer une assemblée générale extraordinaire, d'instituer un contrôle spécial ou d'élire un organe de révision. Selon l'art. 700 al. 1 CO, l'assemblée générale est convoquée selon le mode établi par les statuts, 20 jours au moins avant la date de la réunion.</w:t>
      </w:r>
    </w:p>
    <w:p>
      <w:r>
        <w:rPr>
          <w:b/>
        </w:rPr>
        <w:t>E. 3.3</w:t>
      </w:r>
    </w:p>
    <w:p>
      <w:r>
        <w:t>Selon l'art. 698 CO, l'assemblée générale des actionnaires est le pouvoir suprême de la société (al. 1). Elle a le droit intransmissible : 1. d'adopter et de modifier les statuts; 2. de nommer les membres du conseil d'administration et de l'organe de révision; 3. d'approuver le rapport annuel et les comptes de groupe; 4. d'approuver les comptes annuels et de déterminer l'emploi du bénéfice résultant du bilan, en particulier de fixer le dividende et les tantièmes; 5. de donner décharge aux membres du conseil d'administration; 6. de prendre toutes les décisions qui lui sont réservées par la loi ou les statuts (al. 2). Si la loi ou les statuts n'en disposent pas autrement, l'assemblée générale prend ses décisions et procède aux élections à la majorité absolue des voix attribuées aux actions représentées (art. 703 CO). L'art. 703 CO n'instaure aucun quorum de présence (PETER/CAVADINI, Commentaire Romand, Code des obligations II, 2008, n. 10 ad art. 703 CO). Selon l'art. 704 al. 1 CO, une décision de l'assemblée générale recueillant au moins les deux tiers des voix attribuées aux actions représentées et la majorité absolue des valeurs nominales représentées est nécessaire pour la modification du but social, l'introduction d'actions à droit de vote privilégié, la restriction de la transmissibilité des actions nominatives, l'augmentation autorisée ou conditionnelle du capital-actions, l'augmentation du capital-actions au moyen des fonds propres, contre apport en nature ou en vue d'une reprise de biens et l'octroi d'avantages particuliers la limitation ou la suppression du droit de souscription préférentiel, le transfert du siège de la société et la dissolution de la société. Le terme "représenté" inclut toutes les actions présentes à l'assemblée générale, que leur titulaire y assiste en personne ou qu'il s'y fasse "représenter" par un tiers autorisé (PETER/CAVADINI, op. cit., n. 4 ad art. 704 CO). Si la société n'a pas émis d'actions à droit de vote privilégié, il suffit que la majorité des deux tiers des voix attribuée aux actions représentées soit atteinte pour que la seconde exigence, celle relative à leur valeur nominale, soit ipso facto également satisfaite (PETER/CAVADINI, op. cit., n. 6 ad art. 704 CO). Cette disposition n'institue aucun quorum de présence. Il n'est pas tenu compte des actions absentes ou qui ne se sont pas faites représenter (PETER/CAVADINI, op. cit., n. 9 ad art. 704 CO).</w:t>
      </w:r>
    </w:p>
    <w:p>
      <w:r>
        <w:rPr>
          <w:b/>
        </w:rPr>
        <w:t>E. 3.4</w:t>
      </w:r>
    </w:p>
    <w:p>
      <w:r>
        <w:t>La décision portant sur l'amortissement complet du capital-actions et sa réaugmentation simultanée au montant précédent n'est pas soumis à l'art. 732 CO, si l'augmentation correspond au montant initial au moins et si le capital nouvellement émis est entièrement libéré (HEINZMANN, Commentaire Romand, Code des obligations II, 2008, n. 8 ad art. 732 CO). La suppression des droits des actionnaires associée à la réduction du capital-actions à zéro suivie de son augmentation immédiate n'est envisageable qu’à des fins d’assainissement (art. 732a al. 1 CO) et moyennant respect absolu du droit de souscription préférentiel des actionnaires, inaliénable dans ce cas (art. 732a al. 2 CO). Une telle dérogation au droit au maintien du sociétariat ne se justifie que si le capital-risque est entièrement perdu. Tel ne peut être le cas que si la société est en situation de surendettement au sens de l'art. 725 al. 2 CO. Nécessaire, cette condition n'est pas suffisante : il faut encore que l’opération permette en tant que telle le complet assainissement de la société, ou que d'autres mesures prises simultanément permettent raisonnablement d’envisager un assainissement durable de la situation. Dans ce second cas, le conseil d'administration doit disposer d'un concept d'assainissement qui le délie de son obligation d'avis au juge de la faillite indépendamment d'éventuelles postpositions de créances et l'assemblée générale ne peut valablement prendre une décision de réduction du capital-actions à zéro avec augmentation consécutive si les mesures complémentaires permettant de conclure à une perspective d'assainissement durable ne lui sont pas présentées en même temps. Sans une telle information, les actionnaires ne seraient en outre pas en mesure de décider en toute connaissance de cause s'il convient ou non d'exercer leur droit de souscription préférentiel (ATF 138 III 204 consid. 3.3). Une décision prise par l'assemblée générale en violation de ces principes n'est pas nulle au sens de l'art. 706b CO mais seulement annulable au sens des art. 706 et 706a CO. Les mesures d'exécution prises par le conseil d'administration ensuite d'une décision ainsi annulée sont nulles, faute de pouvoir reposer sur une base valable (ATF 138 III 204 consid. 4.2).</w:t>
      </w:r>
    </w:p>
    <w:p>
      <w:r>
        <w:rPr>
          <w:b/>
        </w:rPr>
        <w:t>E. 3.5</w:t>
      </w:r>
    </w:p>
    <w:p>
      <w:r>
        <w:t>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 L'action s'éteint si elle n'est pas exercée au plus tard dans les deux mois qui suivent l'assemblée générale (art. 706a al. 1 CO). En vertu de l'art. 706b ch. 3 CO, sont nulles en particulier les décisions de l'assemblée générale qui négligent les structures de base de la société anonyme ou portent atteinte aux dispositions de protection du capital.</w:t>
      </w:r>
    </w:p>
    <w:p>
      <w:r>
        <w:rPr>
          <w:b/>
        </w:rPr>
        <w:t>E. 3.6</w:t>
      </w:r>
    </w:p>
    <w:p>
      <w:r>
        <w:t>En l'espèce, l'appelant fait valoir qu'il a rendu vraisemblable sa qualité d'actionnaire. Il a produit à l'appui de ses dires une copie du certificat d'actions et il y a lieu d'admettre au stade de la vraisemblance qu'il était actionnaire de la société jusqu'à la décision litigieuse et qu'il a par conséquent un intérêt à agir. La décision de l'assemblée générale extraordinaire du 21 août 2013 a été prise par l'organe compétent, convoqué conformément à la loi et aux statuts et relatif à un objet dûment porté à l'ordre du jour. Le fait que les comptes 2012 n'ont pas été approuvés n'est pas pertinent. En effet, la décision litigieuse repose sur un bilan intermédiaire au 30 juin 2013 et non pas sur les comptes annuels de l'intimée au 31 décembre 2012. En outre, en première instance, l'appelant alléguait que la décision litigieuse de l'assemblée générale était basée sur les comptes 2012, qui avaient été approuvés en violation des statuts et des dispositions légales, car il n'avait pas été convoqué à l'assemblée générale y relative. Cette décision d'approbation était alors nulle et la décision du 21 août 2013 était partant annulable. En appel, il soutient désormais que l'assemblée générale aurait dû se fonder sur lesdits comptes 2012 préalablement approuvés et sur le bilan intermédiaire, qui n'avait été présenté que le jour même de l'assemblée générale extraordinaire. Or, en l'absence de comptes approuvés une mesure d'assainissement ne pouvait être proposée ni valablement décidée. Il critique également l'absence de précision apportée aux actionnaires concernant la mesure d'assainissement proposée. Or, ces allégués sont contradictoires et la recevabilité des allégués nouveaux en appel (ch. 25 et 26) ne saurait être admise, dès lors l'appelant n'expose pour quelle raison il n'aurait pas pu s'en prévaloir en première instance (art. 317 al. 1 let. b CPC). Cela étant, indépendamment de la recevabilité de ces faits nouveaux, il ne ressort pas de la loi que le conseil d'administration devait préalablement approuver les comptes 2012 pour prendre la décision litigieuse ou qu'il devait présenter à l'assemblée générale extraordinaire les comptes intermédiaires préalablement à la séance, conformément à l'art. 12 des statuts. En outre, contrairement à ce que soutient l'appelant, la décision litigieuse n'apparaît pas d'emblée annulable au motif que le conseil d'administration ne se serait pas conformé à ses obligations d'information. Outre le fait que l'appelant se prévaut ici encore de faits nouveaux (ch. 30 et 31) irrecevables en appel en l'absence de motif justificatif (art. 317 al. 1 let. b CPC), ces faits ne ressortent pas du procès-verbal de l'assemblée générale litigieuse sur lequel pourtant ils se fondent. Enfin, l'appelant ne rend pas davantage vraisemblable qu'il aurait été privé de son droit de souscription préférentiel. Il admet lui-même avoir oublié de fournir son certificat d'actions lors de l'assemblée générale extraordinaire et n'explique au demeurant pas comment l'intimée l'en aurait privé, dès lorsqu'il disposait d'un délai au 30 septembre 2013 pour souscrire les nouvelles actions. Pour tous ces motifs, c'est à bon droit que le premier juge a considéré que l'appelant n'avait pas rendu vraisemblable l'existence du droit matériel invoqué et il n'est pas nécessaire d'examiner si la condition du préjudice difficilement réparable est remplie. L'appel doit être rejeté et l'ordonnance querellée sera confirmée.</w:t>
      </w:r>
    </w:p>
    <w:p>
      <w:r>
        <w:rPr>
          <w:b/>
        </w:rPr>
        <w:t>E. 4</w:t>
      </w:r>
    </w:p>
    <w:p>
      <w:r>
        <w:t>L'appelant, qui succombe, sera condamné aux frais judiciaires d'appel, arrêtés à 1'500 fr. (art. 105 al. 1 et 106 al. 1 CPC, 26 et 37 RTFMC), compensés avec l'avance de frais de même montant qu'elle a effectuée, qui reste acquise à l'Etat (art. 111 al. 1 CPC). Il sera par ailleurs condamné à payer les dépens de l'intimée, qui seront fixés à 1'000 fr., TVA et débours compris (art. 25 et 26 LaCC, 84, 85 al. 2, 86 et 90 RTFMC). * * * * * PAR CES MOTIFS, La Chambre civile : A la forme : Déclare recevable l'appel interjeté le 3 février 2014 par A______ contre l'ordonnance OTPI/137/2014 rendue le 20 janvier 2014 par le Tribunal de première instance dans la cause C/20983/2013-19 SP. Au fond : Confirme l'ordonnance entreprise. Déboute les parties de toutes autres conclusions. Sur les frais d'appel : Arrête les frais judiciaires à 1'500 fr. Les met à la charge d'A______ et dit qu'ils sont entièrement couverts par l'avance opérée par ce dernier, laquelle reste acquise à l'Etat. Condamne A______ à payer 1'000 fr. à B______ SA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