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C/20977/2016 vom 6. Juni 2017</w:t>
      </w:r>
    </w:p>
    <w:p>
      <w:r>
        <w:t>GE Cour de justice, 2017-06-06, FR</w:t>
      </w:r>
    </w:p>
    <w:p>
      <w:r>
        <w:rPr>
          <w:b/>
        </w:rPr>
        <w:t xml:space="preserve">Quelle: </w:t>
      </w:r>
      <w:r>
        <w:t>https://mcp.opencaselaw.ch/entscheid/ge_gerichte_C_20977_2016</w:t>
      </w:r>
    </w:p>
    <w:p>
      <w:r>
        <w:t>FR: GE_GERICHTE C/20977/2016 du 6 juin 2017</w:t>
      </w:r>
    </w:p>
    <w:p>
      <w:r>
        <w:t>IT: GE_GERICHTE C/20977/2016 del 6 giugno 2017</w:t>
      </w:r>
    </w:p>
    <w:p>
      <w:pPr>
        <w:pStyle w:val="Heading2"/>
      </w:pPr>
      <w:r>
        <w:t>Regeste</w:t>
      </w:r>
    </w:p>
    <w:p>
      <w:r>
        <w:t>CPC.325.2; CPC.126;</w:t>
      </w:r>
    </w:p>
    <w:p>
      <w:pPr>
        <w:pStyle w:val="Heading2"/>
      </w:pPr>
      <w:r>
        <w:t>Volltext</w:t>
      </w:r>
    </w:p>
    <w:p>
      <w:r>
        <w:t>Genève Cour de Justice (Cour civile) Chambre des baux et loyers 06.06.2017 C/20977/2016</w:t>
      </w:r>
    </w:p>
    <w:p>
      <w:r>
        <w:t>C/20977/2016 ACJC/641/2017 du 06.06.2017 ( SBL ) Normes : CPC.325.2; CPC.126; Par ces motifs RÉPUBLIQUE ET CANTON DE GENÈVE POUVOIR JUDICIAIRE C/20977/2016 ACJC/641/2017 ARRÊT DE LA COUR DE JUSTICE Chambre des baux et loyers du MARDI 6 JUIN 2017 Entre Madame A______ , domiciliée______ à Genève, recourante contre un ordonnance rendue par le Tribunal des baux et loyers le 8 mai 2017, représentée par l'ASLOCA, rue du Lac 12, case postale 6150, 1211 Genève 6, en les bureaux de laquelle elle fait élection de domicile, et Monsieur B______ , intimé, représenté par la régie C______ SA,______ à Genève, en les bureaux de laquelle il fait élection de domicile. Vu, en fait , la procédure C/20977/2016, pendante devant le Tribunal des baux et loyers, en contestation de congé; Vu l'ordonnance OTBL/103/2017 du 8 mai 2017 rendue par le Tribunal des baux et loyers, expédiée pour notification aux parties le 18 mai suivant, rejetant la demande de suspension de la procédure formée par A______; Vu le recours formé en temps opportun par A______ contre cette décision, sollicitant l'annulation de la décision déférée et la suspension de la présente procédure; Vu la requête tendant à la suspension de l'effet exécutoire attaché à l'ordonnance querellée dont le recours est assorti, A______ faisant en substance valoir subir un préjudice difficilement réparable, motif pris de l'instruction que continuera de mener le Tribunal à défaut de suspension de la procédure, engendrant pour la locataire un coût tant financier que moral; Qu'invité à se déterminer, B______ a conclu, par écritures du 2 juin 2017, au rejet de la demande de suspension du caractère exécutoire; Considérant, en droit , que la décision entreprise est une ordonnance de suspension au sens de l'art. 126 al. 1 CPC; Que la décision ordonnant la suspension de la cause est une mesure d'instruction qui peut, conformément à l'art. 126 al. 2 CPC, faire l'objet du recours de l'art. 319 let. b ch. 1 CPC; Qu'en revanche, la décision de refus de suspension ne peut faire l'objet que du recours de l'art. 319 let. b ch. 2 CPC, le recourant devant démontrer le préjudice difficilement réparable résultant du refus de suspendre (arrêt du Tribunal fédéral 5D_182/2015 du 2 février 2016 consid. 1.3 et la doctrine citée),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 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Considérant qu'en l'espèce, l'existence d'un préjudice difficilement réparable est prima facie douteuse; Qu'en effet, la recourante se prévaut des mesures d'instruction que devront mener les premiers juges et des coûts financiers et moraux en découlant, à titre de préjudice difficilement réparable; qu'à teneur de la doctrine susmentionnée, il apparaît, selon toute vraisemblance, que les motifs invoqués ne constituent pas un tel préjudice; Qu'ainsi, a priori, au vu des faibles chances de succès du recours, il se justifie dès lors de rejeter la requête de suspension de l'effet exécutoire attaché à la décision attaquée. * * * * * PAR CES MOTIFS, La Présidente de la Chambre des baux et loyers : Statuant sur la suspension de l'effet exécutoire : Rejette la requête formée le 29 mai 2017 par A______ tendant à la suspension de l'effet exécutoire attaché à l'ordonnance OTBL/103/2017 rendue le 8 mai 2017 par le Tribunal des baux et loyers dans la cause C/20977/2016-6-OSB. Siégeant : Madame Nathalie LANDRY-BARTHE, présidente; Madame Fatina SCHAERER, greffière. La présidente : Nathalie LANDRY-BARTHE La greffière : Fatina SCHAERER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