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C/2096/2011 vom 21. Mai 2014</w:t>
      </w:r>
    </w:p>
    <w:p>
      <w:r>
        <w:t>GE Cour de justice, 2014-05-21, FR</w:t>
      </w:r>
    </w:p>
    <w:p>
      <w:r>
        <w:rPr>
          <w:b/>
        </w:rPr>
        <w:t xml:space="preserve">Quelle: </w:t>
      </w:r>
      <w:r>
        <w:t>https://mcp.opencaselaw.ch/entscheid/ge_gerichte_C_2096_2011</w:t>
      </w:r>
    </w:p>
    <w:p>
      <w:r>
        <w:t>FR: GE_GERICHTE C/2096/2011 du 21 mai 2014</w:t>
      </w:r>
    </w:p>
    <w:p>
      <w:r>
        <w:t>IT: GE_GERICHTE C/2096/2011 del 21 maggio 2014</w:t>
      </w:r>
    </w:p>
    <w:p>
      <w:pPr>
        <w:pStyle w:val="Heading2"/>
      </w:pPr>
      <w:r>
        <w:t>Regeste</w:t>
      </w:r>
    </w:p>
    <w:p>
      <w:r>
        <w:t>BAIL À LOYER; TACITE | CO.253; CO.261.1; CO.254</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n. 9 ad art. 308 CPC). A l'instar de ce qui prévaut en matière de contestation portant sur la validité d'une résiliation de bail, la valeur litigieuse relative à une action en constatation de l'existence d'un bail est égale au loyer de la période minimum pendant laquelle le contrat subsiste nécessairement si l'action est admise,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96 consid. 1.1; arrêts du Tribunal fédéral 4A_367/2010 du 4 octobre 2010 consid. 1.1; 4A_127/2008 du 2 juin 2008 consid. 1.1; 4A_516/2007 du 6 mars 2008 consid. 1.1).</w:t>
      </w:r>
    </w:p>
    <w:p>
      <w:r>
        <w:rPr>
          <w:b/>
        </w:rPr>
        <w:t>E. 1.2</w:t>
      </w:r>
    </w:p>
    <w:p>
      <w:r>
        <w:t>En l'espèce, compte tenu du loyer mensuel brut de 1'000 fr.,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w:t>
      </w:r>
    </w:p>
    <w:p>
      <w:r>
        <w:t>2.1 En vertu de l'art. 253 CO, le bail à loyer est un contrat par lequel le bailleur s'oblige à céder l'usage d'une chose au locataire, moyennant un loyer. Le contrat de bail peut être conclu par écrit, oralement ou par actes concluants (Lachat, Le bail à loyer, Lausanne 2008, p. 179; ATF 119 III 78 consid. 3c). Les éléments caractéristiques du contrat de bail sont 1) la cession de l'usage d'une chose, 2) pendant une certaine durée et 3) moyennant le paiement d'un loyer (Lachat, op. cit., p. 70).</w:t>
      </w:r>
    </w:p>
    <w:p>
      <w:r>
        <w:rPr>
          <w:b/>
        </w:rPr>
        <w:t>E. 2.2</w:t>
      </w:r>
    </w:p>
    <w:p>
      <w:r>
        <w:t>En l'espèce, la question de savoir si un bail a bien été conclu le 14 juin 2007 entre l'intimée et la propriétaire de l'époque peut demeurer ouverte. En effet, quoi qu'il en soit, un contrat de bail a manifestement été conclu (ou ratifié) par l'héritière de feue E______, qui a accepté l'encaissement d'au moins trente-huit mensualités de loyer, entre le mois de juillet 2007 et le mois d'août 2010 (inclus), sans émettre la moindre réserve quant à l'existence du bail. Ce n'est que par la suite, lorsque les appelantes ont acquis la parcelle litigieuse, que l'existence dudit bail a été remise en question par les nouvelles propriétaires, lesquelles ont par ailleurs refusé d'encaisser les mensualités versées au titre de loyer par l'intimée. Dans la mesure où l'occupation de la parcelle litigieuse par l'intimée est également établie, à tout le moins dès le mois de juillet 2007, force est ainsi de constater que sur une période de trente-huit mois au moins, l'intimée a occupé la parcelle objet du litige, en versant (par compensation) un loyer de 1'000 fr. par mois, que la propriétaire de l'époque a accepté sans réserve. Dès lors, même à considérer que l'intimée n'était pas au bénéfice d'un contrat de bail écrit portant sur la parcelle n° 1______ (question qui peut donc être laissée ouverte), il y a en tous cas lieu d'admettre qu'elle est au bénéfice d'un contrat de bail conclu par actes concluants. L'art. 261 al. 1 CO stipulant que si, après la conclusion du contrat, le bailleur aliène la chose louée ou si elle lui est enlevée dans le cadre d'une poursuite pour dettes ou d'une faillite, le bail passe à l'acquéreur avec la propriété de la chose, il en résulte que le bail liant l'intimée à la précédente propriétaire a été transféré, ex lege, aux appelantes.</w:t>
      </w:r>
    </w:p>
    <w:p>
      <w:r>
        <w:rPr>
          <w:b/>
        </w:rPr>
        <w:t>E. 2.2.1</w:t>
      </w:r>
    </w:p>
    <w:p>
      <w:r>
        <w:t>Les appelantes font valoir que le bail litigieux ne porterait pas sur un local commercial, mais uniquement sur des places de stationnement. Il n'en demeure pas moins qu'il s'agit d'un bail, au sens de l'art. 253 CO. La question de savoir sur quel type de bien porte ce bail n'a en revanche pas été tranchée et n'est pas pertinente dans le cadre de la procédure d'appel.</w:t>
      </w:r>
    </w:p>
    <w:p>
      <w:r>
        <w:rPr>
          <w:b/>
        </w:rPr>
        <w:t>E. 2.2.2</w:t>
      </w:r>
    </w:p>
    <w:p>
      <w:r>
        <w:t>Les appelantes relèvent également que l'objet du bail serait une chose impossible en raison du fait que la parcelle ne permettait pas l'aménagement des places de parking prévues par le contrat. Les faits démontrent néanmoins le contraire, puisqu'il ressort du dossier que la parcelle litigieuse a bien été occupée et l'est encore par l'intimée, pour ______ ses véhicules.</w:t>
      </w:r>
    </w:p>
    <w:p>
      <w:r>
        <w:rPr>
          <w:b/>
        </w:rPr>
        <w:t>E. 2.2.3</w:t>
      </w:r>
    </w:p>
    <w:p>
      <w:r>
        <w:t>Les appelantes soutiennent, dans un troisième moyen, que le contrat serait nul dans la mesure où il s'agirait d'une transaction couplée au sens de l'art. 254 CO, lequel prévoit qu'une transaction couplée avec le bail est nulle lorsque la conclusion du bail y est subordonnée et que, par cette transaction, le locataire contracte envers le bailleur ou un tiers des obligations qui ne sont pas en relation directe avec la chose louée. Hormis le fait que les contrats de prêt et de bail ne sont pas liés, les appelantes perdent de vue le but de cette disposition, laquelle vise à protéger la partie locataire de l'existence d'une transaction couplée et non la partie bailleresse. Les conditions de cette disposition ne sont dès lors manifestement pas réunies.</w:t>
      </w:r>
    </w:p>
    <w:p>
      <w:r>
        <w:rPr>
          <w:b/>
        </w:rPr>
        <w:t>E. 2.2.4</w:t>
      </w:r>
    </w:p>
    <w:p>
      <w:r>
        <w:t>Dans un quatrième moyen, les appelantes soutiennent que le bail litigieux, pour autant qu'il existe, serait un contrat mixte, dans la mesure où il serait lié au prêt consenti en faveur de la précédente propriétaire, le 12 juin 2006, lequel ne pourrait leur être opposé, puisqu'elles n'ont pas repris le prêt. Leur raisonnement ne saurait être suivi. Les deux contrats sont indépendants, sous réserve du fait que le paiement du loyer est intervenu, jusqu'au mois d'août 2010, soit avant la vente de la parcelle par l'héritière de la précédente propriétaire, par compensation, relativement au montant du prêt à rembourser. Il ne s'agit dès lors nullement d'un contrat mixte, comme elles le prétendent.</w:t>
      </w:r>
    </w:p>
    <w:p>
      <w:r>
        <w:rPr>
          <w:b/>
        </w:rPr>
        <w:t>E. 2.2.5</w:t>
      </w:r>
    </w:p>
    <w:p>
      <w:r>
        <w:t>Les appelantes font valoir que leur partie adverse commet un abus de droit, dans la mesure où l'existence du contrat de bail constitue une entrave à la réalisation de leur but statutaire (mise en valeur et revente de biens immobiliers) et leur cause un préjudice financier très important. Il ne saurait être considéré qu'un locataire qui fait valoir l'existence d'un bail pour s'opposer à son expulsion par le nouveau propriétaire commet de ce seul fait un abus de droit. C'est d'autant plus vrai que le nouveau propriétaire dispose, de par la loi, de la possibilité de résilier le bail de manière anticipée (art. 261 CO), ce que les appelantes ont manifestement omis de faire au moment opportun.</w:t>
      </w:r>
    </w:p>
    <w:p>
      <w:r>
        <w:rPr>
          <w:b/>
        </w:rPr>
        <w:t>E. 2.2.6</w:t>
      </w:r>
    </w:p>
    <w:p>
      <w:r>
        <w:t>Enfin, les appelantes font valoir une erreur essentielle de feue E______, au moment de la conclusion du bail du 14 juin 2007, pour invalider celui-ci. Leur raisonnement ne saurait là non plus être suivi, ce d'autant plus que, comme il a été vu précédemment, le bail liant les parties résulte de toute manière d'actes concluants de l'héritière de feue E______, qui a accepté le paiement d'au moins trente-huit loyers de la part de l'intimée, sans émettre la moindre réserve.</w:t>
      </w:r>
    </w:p>
    <w:p>
      <w:r>
        <w:rPr>
          <w:b/>
        </w:rPr>
        <w:t>E. 2.3</w:t>
      </w:r>
    </w:p>
    <w:p>
      <w:r>
        <w:t>Il résulte de ce qui précède que le jugement entrepris doit être confirmé, par substitution de motifs.</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23 juin 2014 par A______ et B______ contre le jugement JTBL/582/2014 rendu le 21 mai 2014 par le Tribunal des baux et loyers dans la cause C/2096/2011-6-OOD. Au fond : Confirme ce jugement.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