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C/20967/2022 vom 11. Juli 2023</w:t>
      </w:r>
    </w:p>
    <w:p>
      <w:r>
        <w:t>GE Cour de justice, 2023-07-11, FR</w:t>
      </w:r>
    </w:p>
    <w:p>
      <w:r>
        <w:rPr>
          <w:b/>
        </w:rPr>
        <w:t xml:space="preserve">Quelle: </w:t>
      </w:r>
      <w:r>
        <w:t>https://mcp.opencaselaw.ch/entscheid/ge_gerichte_C_20967_2022</w:t>
      </w:r>
    </w:p>
    <w:p>
      <w:r>
        <w:t>FR: GE_GERICHTE C/20967/2022 du 11 juillet 2023</w:t>
      </w:r>
    </w:p>
    <w:p>
      <w:r>
        <w:t>IT: GE_GERICHTE C/20967/2022 del 11 luglio 2023</w:t>
      </w:r>
    </w:p>
    <w:p>
      <w:pPr>
        <w:pStyle w:val="Heading2"/>
      </w:pPr>
      <w:r>
        <w:t>Volltext</w:t>
      </w:r>
    </w:p>
    <w:p>
      <w:r>
        <w:t>Genève Cour de Justice (Cour civile) Chambre des prud'hommes 11.07.2023 C/20967/2022</w:t>
      </w:r>
    </w:p>
    <w:p>
      <w:r>
        <w:t>C/20967/2022 CAPH/89/2023 du 11.07.2023 sur JTPH/128/2023 ( SS ) , ARRET/CONTRA En fait En droit RÉPUBLIQUE ET CANTON DE GENÈVE POUVOIR JUDICIAIRE C/20967/2022-5 CAPH/89/2023 ARRÊT DE LA COUR DE JUSTICE Chambre des prud'hommes DU MARDI 11 JUILLET 2023 Entre Monsieur A______ et B______ , tous deux domiciliés c/o A______, ______[GE], recourants contre une décision rendue par le Collège des présidents et vice-présidents de groupe du Tribunal des prud'hommes le 26 avril 2023, comparants en personne, et Madame C______ , domiciliée ______[GE], intimée, représentée par Monsieur A______, ______[GE], en les bureaux duquel elle fait élection de domicile, et Madame D______, domiciliée ______, France, intimée, comparant par SYNDICAT E______, ______[GE], auprès duquel elle fait élection de domicile, EN FAIT A.           Par décision JTPH/128/2023 du 26 avril 2023, reçue par C______ le 28 avril 2023, le Collège des présidents et vice-présidents de groupe du Tribunal des prud'hommes, « statuant sur la qualité de mandataire professionnellement qualifié », a dénié à B______ la qualité de mandataire professionnellement qualifiée au sens des articles 68 al. 2 let. d CPC et 15 LaCC « pour assister et représenter les parties dans les causes de nature prud'homale ».![endif]&gt;![if&gt; B.            a. Le 8 mai 2023, B______ et A______ ont formé recours contre cette décision, concluant principalement à ce que la Cour de justice l'annule et reconnaisse à B______ la qualité de mandataire professionnellement qualifiée pour représenter et assister les parties devant la juridiction des prud'hommes, subsidiairement reconnaisse cette qualité à A______.![endif]&gt;![if&gt; b. Le 11 mai 2023, D______ a fait savoir à la Cour qu’elle s’en rapportait à justice sur le sort du recours. c. Le 15 mai 2023, C______ a conclu à l’admission de ce dernier. d. Les parties ont été informées le 12 juin 2023 de ce que la cause était gardée à juger. C. Les éléments pertinents suivants résultent du dossier. a. B______ est une société en nom collectif inscrite au Registre du commerce, ayant notamment pour but les conseils juridiques en tous genre. A______ compte au nombre de ses trois associés. b. Le 10 janvier 2023, D______ a déposé par devant le Tribunal des prud’hommes une demande en paiement de 41'741 fr. 45 dirigée contre C______. c. Cette dernière a signé une procuration en faveur de A______ afin de la représenter dans le cadre de ce litige. d. Le 31 octobre 2022, le Tribunal a invité A______ à lui communiquer tous documents utiles permettant d’attester que lui-même ou B______ remplissaient les conditions légales pour pouvoir exercer en qualité de mandataires professionnellement qualifiés. A______ a déposé des observations le 22 novembre 2022. EN DROIT 1.             1.1.1 En procédure civile, la décision sur la capacité de postuler de l'avocat – ou de tout autre mandataire au sens de l'art. 68 al. 2 CPC – vise à garantir la bonne marche du procès. Elle entre donc dans la catégorie des décisions relatives à la conduite du procès, au sens de l'art. 124 al. 1 CPC (ATF 147 III 351 consid. 6.3).![endif]&gt;![if&gt; La voie du recours est ouverte contre les ordonnances d'instruction et autres décisions au sens de l'art. 124 al. 1 CPC pour autant qu'elles causent un préjudice difficilement réparable. Le recours, écrit et motivé est introduit auprès de l'instance de recours dans les 30 jours à compter de la notification de la décision pour les autres décisions et dans les 10 jours pour les ordonnances d'instruction (art. 319 let. b ch. 2, 321 al. 1 et 2 CPC; Jeandin, Commentaire Romand, CPC, 2019, n° 10 et ss ad art. 319 CPC). Le mandataire auquel la vocation à postuler a été déniée par une décision a la qualité pour recourir contre celle-ci, même s'il n'est pas personnellement partie à la procédure dans laquelle cette décision a été rendue (arrêts du Tribunal fédéral 5A_124/2022 du 26 avril 2022 consid. 1.1; 5A_967/2014 du 27 mars 2015 consid. 1.2 et 1.3). 1.1.2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Il s'agit là d'une condition de recevabilité du recours que le juge doit examiner d'office (art. 59 al. 1, 59 al. 2 let. a et 60 CPC; ATF 130 III 430 consid. 3.1). 1.1.3 La nullité d'une décision judiciaire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 arrêts du Tribunal fédéral 5D_78/2022 du 31 octobre 2022 consid. 3.1). 1.2.1 Le recours a en l'espèce été interjeté en temps utile et dans les formes prévues par la loi contre une décision pouvant en principe être contestée par cette voie. Il est dans cette mesure recevable. A______, qui a été désigné comme représentant par l’intimée dans le cadre de la présente procédure, n’est pas visé par le dispositif de la décision litigieuse, de sorte que l’on peut se demander s’il a un intérêt au recours. La formulation de la décision litigieuse est cependant peu claire. Dans les considérants, ses rédacteurs semblent se prononcer à la fois sur la situation de B______ et sur celle de A______. Ce dernier a d’ailleurs été invité à présenter des observations tant sur la capacité de postuler de B______ que sur la sienne. En outre, l’on comprendrait mal pour quel motif la décision querellée statuerait sur la capacité de postuler d’une entité qui n’est pas représentante d’une partie au litige, si ses rédacteurs n’entendaient pas par ce biais se prononcer sur la situation du représentant en cause dans le cas d’espèce. A cela s’ajoute que la société en nom collectif n’est pas une personne morale, même si elle dispose d’une « quasi-personnalité » en ce sens qu’elle est un sujet de droit distinct de ses associés et qu’elle est capable d’agir en justice et d’y être actionnée (Vulliéty, Commentaire romand, n.4 ad art.552 CO). Il en résulte qu’il n’est pas exclu que la décision litigieuse puisse être interprétée en ce sens qu’elle dénie également à A______, associé de B______, la capacité de postuler dans la présente cause. La recevabilité du recours formé par ce dernier sera dès lors admise. La qualité pour recourir de B______ sera quant à elle également reconnue, en dépit du fait qu’elle n’a pas été désignée comme représentante de l’intimée dans le cadre de la présente cause. Elle a en effet un intérêt au recours, dans la mesure où le dispositif de la décision querellée la vise directement et pourrait être interprété comme ayant une portée générale, dépassant celle du cas d’espèce, puisque la qualité de mandataire qualifiée ne lui est pas uniquement déniée dans la présente cause, mais, plus largement, « dans les causes de nature prud’homale ». 2.             2.1.1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(ATF 145 III 436 consid. 4; ATF 137 III 217 consid. 2.4.3; 129 I 361 consid. 2.1, JT 2004 II 47 ; arrêts du Tribunal fédéral 5D_78/2022 du 31 octobre 2022 consid. 3.1).![endif]&gt;![if&gt; 2.1.2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2.1.3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Selon l'art. 1 al. 5 RTPH, la séance plénière exerce les attributions que la loi lui confère de même que celles qui sont attribuées au collège des présidents et vice-présidents de groupe. L'art. 2 al. 1 RTPH prévoit que la commission de gestion du Tribunal des prud'hommes se compose des 10 présidents et vice-présidents de groupe élus lors des assemblées générales annuelles, du greffier de juridiction et des greffiers-adjoints.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 2.2 En l'espèce, la décision attaquée porte sur la capacité à postuler des recourants en qualité de mandataires professionnellement qualifiés et, partant, sur la recevabilité des actes qu'ils seront appelés à effectuer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 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 Au vu de l'incompétence fonctionnelle de l'autorité qui a prononcé la décision attaquée, celle-ci est nulle, ce qui doit être constaté d'office. 3.             Il n'y a pas lieu de renvoyer la cause au Collège des présidents et vice-présidents de groupe du Tribunal des prud'hommes, celui-ci ne disposant pas de la compétence pour statuer à nouveau. Il appartiendra au Tribunal des prud'hommes, dans sa composition prévue par l'art. 12 LTPH, de reprendre l'instruction de la cause et de statuer le cas échéant sur les questions de capacité à postuler susceptibles de se poser.![endif]&gt;![if&gt; 4.             Il n'est pas perçu de frais judiciaires ni alloué de dépens de recours (art. 22 al. 2 LaCC). ![endif]&gt;![if&gt; * * * * * PAR CES MOTIFS, La Chambre des prud'hommes, groupe 5: À la forme : Déclare recevable le recours interjeté par B______ et A______ contre la décision JTPH/128/2023 rendue le 26 avril 2023 par le Collège des présidents et vice-présidents de groupe du Tribunal des prud'hommes dans la cause C/20967/2022-5. Au fond : Constate la nullité de la décision précitée. Déboute les parties de toutes autres conclusions. Siégeant : Madame Fabienne GEISINGER-MARIETHOZ, présidente; Madame Anne-Christine GERMANIER; Madame Shirin HATAM;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