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C/20838/2019 vom 18. Dezember 2019</w:t>
      </w:r>
    </w:p>
    <w:p>
      <w:r>
        <w:t>GE Cour de justice, 2019-12-18, FR</w:t>
      </w:r>
    </w:p>
    <w:p>
      <w:r>
        <w:rPr>
          <w:b/>
        </w:rPr>
        <w:t xml:space="preserve">Quelle: </w:t>
      </w:r>
      <w:r>
        <w:t>https://mcp.opencaselaw.ch/entscheid/ge_gerichte_C_20838_2019</w:t>
      </w:r>
    </w:p>
    <w:p>
      <w:r>
        <w:t>FR: GE_GERICHTE C/20838/2019 du 18 décembre 2019</w:t>
      </w:r>
    </w:p>
    <w:p>
      <w:r>
        <w:t>IT: GE_GERICHTE C/20838/2019 del 18 dicembre 2019</w:t>
      </w:r>
    </w:p>
    <w:p>
      <w:pPr>
        <w:pStyle w:val="Heading2"/>
      </w:pPr>
      <w:r>
        <w:t>Regeste</w:t>
      </w:r>
    </w:p>
    <w:p>
      <w:r>
        <w:t>RÉQUISITION DE SÉQUESTRE;DÉCISION EXÉCUTOIRE</w:t>
      </w:r>
    </w:p>
    <w:p>
      <w:pPr>
        <w:pStyle w:val="Heading2"/>
      </w:pPr>
      <w:r>
        <w:t>Volltext</w:t>
      </w:r>
    </w:p>
    <w:p>
      <w:r>
        <w:t>Genève Cour de Justice (Cour civile) Chambre civile (Sommaires) 18.12.2019 C/20838/2019</w:t>
      </w:r>
    </w:p>
    <w:p>
      <w:r>
        <w:t>C/20838/2019 ACJC/1873/2019 du 18.12.2019 sur SQ/950/2019 ( SQP ) , RENVOYE Descripteurs : RÉQUISITION DE SÉQUESTRE;DÉCISION EXÉCUTOIRE En fait En droit Par ces motifs RÉPUBLIQUE ET CANTON DE GENÈVE POUVOIR JUDICIAIRE C/20838/2019 ACJC/1873/2019 ARRÊT DE LA COUR DE JUSTICE Chambre civile du MERCREDI 18 DECEMBRE 2019 Madame A______ , domiciliée ______, recourante contre une ordonnance de refus de séquestre rendue par la 25ème Chambre du Tribunal de première instance de ce canton le 20 septembre 2019, comparant par Me Philippe Currat, avocat, rue de Saint-Jean 73, 1201 Genève, en l'étude duquel elle fait élection de domicile. EN FAIT A. a. Les époux B______ et A______ se sont mariés le ______ 2014 et sont les parents de C______, née le ______ 2013. Dans le cadre de la procédure de divorce C/1______/2016-18 actuellement pendante, le Tribunal de première instance, par ordonnance sur mesures provisionnelles OTPI/504/2019 du 14 août 2019, a notamment attribué à A______ la garde de l'enfant (chiffre 2 du dispositif), condamné B______ à verser en mains de A______ dès le 3 juin 2016, la somme de 3'000 fr., par mois et d'avance, allocations familiales non comprises, à titre de contribution à l'entretien de C______ (ch. 4) et la somme de 12'200 fr. par mois et d'avance à titre de contribution à l'entretien de l'épouse (ch. 5) et dit que les contributions figurant sous chiffres 4 et 5 du dispositif s'entendaient sous déduction des loyers du domicile conjugal acquittés par B______ dès le 3 juin 2016 ainsi que des versements opérés par B______ en mains de A______ ou encore des factures dont il s'était acquitté au titre de l'entretien de A______ et/ou de C______ dès le 3 juin 2016 également (ch. 6). Le 26 août 2019, B______ a formé appel contre l'ordonnance sur mesures provisionnelles. Il ne résulte pas de la procédure que l'époux aurait obtenu, ni même requis, de la Cour de justice la suspension de l'exécution des mesures provisionnelles. b. Par requête déposée le 18 septembre 2019 au Tribunal de première instance, dirigée contre B______, A______ a requis le séquestre, à concurrence de 179'286 fr. 45, des comptes détenus par le précité auprès de la banque D______, ______ [adresse], BIC 2______, IBAN 3______, IBAN 4______, IBAN 5______, IBAN 6______, IBAN 7______, IBAN 8______, IBAN 9______ et IBAN 10______, des fonds propres détenus par B______ dans [la société] E______ LLP, au siège de Genève, sis 11______, [code postal] Genève, ainsi que des titres détenus par B______ auprès de F______ SA, rue 12______, c/o G______ [étude d'avocats], H______, [code postal] Genève, compte N° 13______. Elle a fait valoir une créance d'arriéré de contributions d'entretien de 179'286 fr. 45 - soit 592'800 fr. sous déduction de 413'513 fr. 55 déjà versés - due pour la période du 3 juin 2016 au 31 août 2019 sur la base de l'ordonnance précitée, et s'est fondée sur l'art. 271 al. 1 ch. 6 LP. B. Par ordonnance OTPI/950/2019 du 20 septembre 2019, reçue le 24 septembre 2019 par A______, le Tribunal a rejeté la requête de séquestre (chiffre 1 du dispositif), mis les frais à la charge de A______ (ch. 2), arrêté à 750 fr. les frais judiciaires (ch. 3) et dispensé A______ de leur versement sous réserve de la décision de l'assistance juridique (ch. 4). Le Tribunal a considéré que l'ordonnance sur mesures provisionnelles n'était pas exécutoire, puisqu'elle avait fait l'objet d'un appel et ne constituait donc pas un titre de mainlevée définitive, et queA______ ne faisait pas valoir que l'autorité d'appel s'était prononcée sur l'exécution anticipée de ladite décision. C. Par acte transmis le 25 septembre 2019 par voie électronique à la Cour de justice, A______ forme recours contre l'ordonnance de refus de séquestre, dont elle requiert l'annulation. Elle conclut au prononcé du séquestre requis, avec suite de frais judiciaires et dépens. A______, mise au bénéfice de l'assistance juridique par décision du 11 décembre 2019, a été informée le 16 décembre 2019 de ce que la cause était gardée à juger.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1.2 Le recours, écrit et motivé, doit être formé dans un délai de dix jours à compter de la notification de la décision (art. 321 al. 1 et 2 CPC). Déposé selon la forme et le délai prescrits, le recours du 25 septembre 2019 est recevable.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 3. Le recours est recevable pour violation du droit ou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FF 2006 6841, p. 6984). L'autorité de recours n'examine en revanche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 4. La recourante fait grief au Tribunal d'avoir considéré que l'ordonnance du 14 août 2019 n'était pas exécutoire et ne constituait ainsi pas un titre de mainlevée définitive, alors que l'appel contre une décision sur mesures provisionnelles n'a pas d'effet suspensif. Elle fait donc valoir que le cas de séquestre de l'art. 271 al. 1 ch. 6 LP est réalisé. Par ailleurs, elle soutient qu'il découle des chiffres 4 à 6 du dispositif de l'ordonnance du 14 août 2019 qu'elle est titulaire d'une créance contre son époux, que cette créance est échue et qu'elle se monte à 179'286 fr. 45. En outre, à son avis, il découle des pièces produites par B______ dans le cadre de la procédure de divorce et notamment au stade des mesures provisionnelles, comme de la dernière déclaration fiscale commune des parties, qu'il détient en Suisse des avoirs et des titres, soit notamment ceux décrits dans les conclusions de la requête de séquestre. 4.1 Le créancier d'une dette échue et non garantie par gage peut requérir le séquestre des biens du débiteur qui se trouvent en Suisse, lorsqu'il possède contre celui-ci un titre de mainlevée définitive (art. 271 al. 1 ch. 6 LP).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(Rechtskraft) - qui se détermine exclusivement au regard du droit fédéral -, c'est-à-dire qui est devenu définitif, parce qu'il ne peut plus être attaqué par une voie de recours ordinaire qui, de par la loi, a un effet suspensif (ATF 131 III 404 consid. 3; 131 III 87 consid. 3.2). Une décision de première instance qui a fait l'objet d'un appel dépourvu d'effet suspensif (art. 315 al. 4 CPC) constitue une décision exécutoire (ABBET, La mainlevée de l'opposition, 2017, p. 33, n. 62). Tel est le cas des décisions portant sur des mesures provisionnelles (art. 315 al. 4 let. b CPC). 4.2 L'admission du recours a un effet principalement cassatoire: l'autorité de recours annule la décision ou ordonnance attaquée et renvoie la cause à l'instance précédente (art. 327 al. 3 let. a CPC). Toutefois, si la cause est en état d'être jugée, l'autorité de recours peut rendre une décision sur le fond (art. 327 al. 3 let b CPC) (Hohl, op. cit., n. 2524-2525, p. 455).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(ATF 99 Ia 317 consid. 4a; cf. également ATF 106 II 106 consid. 1a). 4.3 En l'espèce, l'effet suspensif n'a pas été accordé à l'ordonnance invoquée à l'appui du séquestre, de sorte que celle-ci est exécutoire et constitue un titre de mainlevée définitive. Le cas de séquestre de l'art. 271 al. 1 ch. 6 LP est donc réalisé, contrairement à ce qu'a retenu le Tribunal. Le recours sera donc admis et l'ordonnance attaquée sera annulée. Dans la mesure où le Tribunal n'a pas examiné des éléments essentiels de la requête, notamment la vraisemblance de l'existence de la créance et de biens du débiteur situés en Suisse, et afin de respecter le principe du double degré de juridiction, la cause sera renvoyée au Tribunal pour nouvelle décision. 5. 5.1 Le Tribunal statuera à nouveau sur les frais judiciaires et dépens de première instance. 5.2 Les frais judiciaires du recours seront arrêtés à 1'125 fr. (art. 48 et 61 OELP). La présente procédure de recours ayant été rendue nécessaire par la décision erronée en droit de l'instance inférieure, ces frais seront laissés à la charge de l'Etat en application de l'art. 107 al. 2 CPC (TAPPY, Commentaire romand, Code de procédure civile, 2019, n. 37 ad art. 107 CPC). Il ne sera pas alloué de dépens, l'art. 107 al. 2 CPC ne permettant pas de mettre des dépens à la charge de l'Etat de Genève.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25 septembre 2019 par A______ contre l'ordonnance SQ/950/2019 rendue le 20 septembre 2019 par le Tribunal de première instance dans la cause C/20838/2019-25 SQP. Au fond : Annule l'ordonnance attaquée. Renvoie la cause au Tribunal de première instance pour nouvelle décision. Sur les frais : Arrête les frais judiciaires de recours à 1'125 fr. et les laisse à la charge de l'Etat de Genève. Dit qu'il n'est pas alloué de dépens.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