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C/2082/2021 vom 2. März 2023</w:t>
      </w:r>
    </w:p>
    <w:p>
      <w:r>
        <w:t>GE Cour de justice, 2023-03-02, FR</w:t>
      </w:r>
    </w:p>
    <w:p>
      <w:r>
        <w:rPr>
          <w:b/>
        </w:rPr>
        <w:t xml:space="preserve">Quelle: </w:t>
      </w:r>
      <w:r>
        <w:t>https://mcp.opencaselaw.ch/entscheid/ge_gerichte_C_2082_2021</w:t>
      </w:r>
    </w:p>
    <w:p>
      <w:r>
        <w:t>FR: GE_GERICHTE C/2082/2021 du 2 mars 2023</w:t>
      </w:r>
    </w:p>
    <w:p>
      <w:r>
        <w:t>IT: GE_GERICHTE C/2082/2021 del 2 marzo 2023</w:t>
      </w:r>
    </w:p>
    <w:p>
      <w:pPr>
        <w:pStyle w:val="Heading2"/>
      </w:pPr>
      <w:r>
        <w:t>Regeste</w:t>
      </w:r>
    </w:p>
    <w:p>
      <w:r>
        <w:t>CPC.315</w:t>
      </w:r>
    </w:p>
    <w:p>
      <w:pPr>
        <w:pStyle w:val="Heading2"/>
      </w:pPr>
      <w:r>
        <w:t>Volltext</w:t>
      </w:r>
    </w:p>
    <w:p>
      <w:r>
        <w:t>Genf Cour de Justice (Cour civile) Chambre civile 02.03.2023 C/2082/2021 Genève Cour de Justice (Cour civile) Chambre civile 02.03.2023 C/2082/2021 Ginevra Cour de Justice (Cour civile) Chambre civile 02.03.2023 C/2082/2021</w:t>
      </w:r>
    </w:p>
    <w:p>
      <w:r>
        <w:t>C/2082/2021 ACJC/306/2023 du 02.03.2023 sur ORTPI/153/2023 ( OS ) Normes : CPC.315 Par ces motifs RÉPUBLIQUE ET CANTON DE GENÈVE POUVOIR JUDICIAIRE C/2082/2021 ACJC/306/2023 ARRÊT DE LA COUR DE JUSTICE Chambre civile DU JEUDI 2 MARS 2023 Entre A______ SA , sise ______ [GE], recourante d'une ordonnance rendu par la 2 ème Chambre du Tribunal de première instance de ce canton le 2 février 2023, comparant par Me Luc RECORDON, avocat, rue du Grand-Chêne 4 et 8, case postale 7283, 1002 Lausanne, en l'Étude duquel elle fait élection de domicile, et Monsieur B______ , domicilié ______, Pays-bas, intimé, comparant par Me François MICHELI, avocat, Kellerhals Carrard Genève SNC, rue François-Bellot 6, 1206 Genève, en l'Étude duquel il fait élection de domicile. Attendu, EN FAIT , que le 2 février 2023, le Tribunal de première instance a rendu une ordonnance de preuve dans laquelle il a admis différents moyens de preuve (chiffre 1 du dispositif), en a écarté d'autres (ch. 2) et a convoqué une audience de débats principaux aux fins de procéder à l'interrogatoire des parties ainsi qu'au plaidoiries finales orales (ch. 5), fixée au 13 mars 2023 (ch. 6) et dit que la cause serait gardée à juger à l'issue de l'audience (ch. 7); Que par acte expédié à la Cour de justice le 13 février 2023, A______ SA a formé recours contre cette ordonnance; qu'elle a conclu à l'annulation des chiffres 3 à 7 de son dispositif; Qu'elle a requis l'octroi de l'effet suspensif à son recours, exposant qu'une audience avait d'ores et déjà été fixée selon les chiffres 5 et 6 du dispositif de l'ordonnance attaquée, alors que le Tribunal ne pouvait statuer sur le sort de la présente procédure sans connaître l'issue de son recours; Qu'invité à se déterminer sur cette requête, B______ s'en est rapporté à justice, relevant que le 16 février 2023, Tribunal avait annulé l'audience du 13 mars 2023;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a motivé sa requête d'effet suspensif par le fait qu'il convenait d'éviter que le Tribunal statue avant que le sort de son recours soit tranché; que le Tribunal ayant annulé, postérieurement au dépôt du recours et en raison dudit recours, l'audience qu'il avait fixée, au terme de laquelle la cause devait être gardée à juger, le risque de préjudice invoqué par la recourante n'est plus susceptible de se réaliser; que la requête d'effet suspensif sera dès lors rejetée; Qu'il sera statué sur les frais de la présente décision dans l'arrêt qui sera rendu sur le fond (art. 104 al. 3 CPC). * * * * * PAR CES MOTIFS, La Chambre civile : Statuant sur requête de suspension du caractère exécutoire de l'ordonnance attaquée : Rejette la requête formée par A______ SA tendant à suspendre le caractère exécutoire de l'ordonnance ORTPI/153/2023 rendue le 2 février 2023 par le Tribunal de première instance dans la cause C/2082/2021. Dit qu'il sera statué sur les frais liés à la présente décision dans l'arrêt rendu sur le fond. Siégeant : Monsieur Laurent RIEBEN, président;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