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C/20677/2024 vom 3. November 2025</w:t>
      </w:r>
    </w:p>
    <w:p>
      <w:r>
        <w:t>GE Cour de justice, 2025-11-03, FR</w:t>
      </w:r>
    </w:p>
    <w:p>
      <w:r>
        <w:rPr>
          <w:b/>
        </w:rPr>
        <w:t xml:space="preserve">Quelle: </w:t>
      </w:r>
      <w:r>
        <w:t>https://mcp.opencaselaw.ch/entscheid/ge_gerichte_C_20677_2024</w:t>
      </w:r>
    </w:p>
    <w:p>
      <w:r>
        <w:t>FR: GE_GERICHTE C/20677/2024 du 3 novembre 2025</w:t>
      </w:r>
    </w:p>
    <w:p>
      <w:r>
        <w:t>IT: GE_GERICHTE C/20677/2024 del 3 novembre 2025</w:t>
      </w:r>
    </w:p>
    <w:p>
      <w:pPr>
        <w:pStyle w:val="Heading2"/>
      </w:pPr>
      <w:r>
        <w:t>Regeste</w:t>
      </w:r>
    </w:p>
    <w:p>
      <w:r>
        <w:t>CPC.315.al2.letb</w:t>
      </w:r>
    </w:p>
    <w:p>
      <w:pPr>
        <w:pStyle w:val="Heading2"/>
      </w:pPr>
      <w:r>
        <w:t>Volltext</w:t>
      </w:r>
    </w:p>
    <w:p>
      <w:r>
        <w:t>Genf Cour de Justice (Cour civile) Chambre civile 05.12.2025 C/20677/2024 Genève Cour de Justice (Cour civile) Chambre civile 05.12.2025 C/20677/2024 Ginevra Cour de Justice (Cour civile) Chambre civile 05.12.2025 C/20677/2024</w:t>
      </w:r>
    </w:p>
    <w:p>
      <w:r>
        <w:t>C/20677/2024 ACJC/1746/2025 du 05.12.2025 sur OTPI/715/2025 ( SDF ) Normes : CPC.315.al2.letb Par ces motifs RÉPUBLIQUE ET CANTON DE GENÈVE POUVOIR JUDICIAIRE C/20677/2024 ACJC/1746/2025 ARRÊT DE LA COUR DE JUSTICE Chambre civile DU VENDREDI 5 DECEMBRE 2025 Entre Monsieur A ______ , domicilié ______, appelant d'une ordonnance rendue par la 23ème Chambre du Tribunal de première instance de ce canton le 3 novembre 2025, représenté par Me Alexandre TONDINA, avocat, Tondina Tosetti Avocats, boulevard des Philosophes 5, 1205 Genève et Madame B ______ , domiciliée ______, intimée, représentée par Me Karin ETTER, avocate, Etter &amp; Buser, boulevard Saint-Georges 72, 1205 Genève. Attendu, EN FAIT , que par ordonnance du 3 novembre 2025, le Tribunal de première instance, statuant sur mesures provisionnelles (dans le cadre d'une procédure de mesures protectrices de l'union conjugale), a autorisé les époux B______ et A______ à vivre séparés (ch. 1 du dispositif), attribué à B______ la jouissance exclusive du domicile conjugal sis rue 1______ no. ______, [code postal] Genève, ainsi que du mobilier le garnissant (ch. 2), ordonné à A______ de quitter le logement familial d'ici au 1 er décembre 2025 (ch. 3), attribué à B______ la garde sur les enfants C______, née le ______ 2018, et D______, née le ______ 2022 (ch. 4), réservé à A______ un droit de visite sur les enfants C______ et D______, selon les modalités mentionnées (ch. 5), condamné A______ à verser en mains de B______, par mois et d'avance, allocations familiales non comprises, dès le 1 er décembre 2025, 1'760 fr. au titre de l'entretien de l'enfant C______ (ch. 6) et 3'425 fr. au titre de l'entretien de l'enfant D______ (ch. 7) ainsi que 2'110 fr. au titre de son propre entretien (ch. 8) et statué sur les frais (ch. 9 à 13); Que le Tribunal a notamment attribué le domicile conjugal à B______ à laquelle il avait confié la garde des enfants sur mesures provisionnelles et dans l'attente de l'évolution de la situation, dans la mesure où le taux d'activité de la mère n'était que de 40% et qu'elle disposait ainsi de davantage de temps que son époux pour prendre en charge les enfants; qu'il a précisé que la question de la garde alternée serait examinée dans le cadre de la décision au fond, lorsque chacun des époux disposerait de son propre domicile; Que par acte déposé à la Cour de justice le 20 novembre 2025, A______ a formé appel contre cette ordonnance; qu'il a conclu à l'annulation des ch. 3 à 8 de son dispositif et, cela fait, à ce qu'il lui soit donné acte de son engagement de quitter le domicile familial dès qu'il aura trouvé un logement situé à proximité de l'école et de la crèche des enfants, à ce qu'une garde alternée soit instaurée sur les enfants selon les modalités indiquées, à ce qu'il lui soit donné acte de son engagement à verser des contributions d'entretien de 530 fr. par mois par enfant ainsi que les frais d'écolage et de crèche de ceux-ci et à ce qu'il soit dit qu'aucune contribution d'entretien entre époux n'est due; Qu'il a conclu, préalablement, à l'octroi de l'effet suspensif à son appel; qu'il a soutenu que le délai accordé par le Tribunal pour qu'il déménage est bref puisqu'il est inférieur à un mois, que ses démarches pour trouver un logement étaient restées vaines pour l'instant, que les parties avaient mis en place un modus operandi leur permettant de cohabiter et que le changement brutal dans l'organisation familiale constituerait un changement important pour les enfants propre à porter atteinte à leurs intérêts; Qu'invitée à se déterminer, B______ a conclu au rejet de cette requête; qu'elle a notamment soutenu que la cohabitation entraînait des tensions; Considérant, EN DROIT ,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5A_285/2025 du 5 juin 2025 consid. 3.1 et les références); Qu’en l’espèce, l'appelant ne réclame pas l'attribution du domicile conjugal, de sorte qu'il ne conteste pas devoir le quitter à terme; qu'il sollicite toutefois un délai supplémentaire; Qu'il ne peut être d'emblée considéré, à ce stade, prima facie , que l'appel tendant à la prolongation du bref délai imparti par le Tribunal, inférieur à un mois, soit voué à l'échec, compte tenu notamment de la période de fin d'année; Que l'intimée a fait état de tensions entre les parties résultant de leur cohabitation, sans toutefois citer d'événement particulier et sans rendre vraisemblable que la poursuite de celle-ci pourrait, notamment, être nuisible pour les enfants (qu'il appartient aux parents de préserver de leur conflit conjugal); Que la procédure d'appel, régie par la procédure sommaire, devrait être jugée relativement rapidement; Que le Tribunal, qui a statué sur mesures provisionnelles, devrait également vraisemblablement statuer à bref délai sur les mesures protectrices requises, soumises à la procédure sommaire; Qu’au vu de ce qui précède, la requête tendant à la suspension du caractère exécutoire de l’ordonnance attaquée en tant qu'elle a ordonné à A______ de quitter le logement familial d'ici au 1 er décembre 2025 sera admise; qu'il en découle que le caractère exécutoire de l'ordonnance attaquée doit être aussi suspendu sur les autres points du dispositif, par ailleurs contestés, qui perdent leur objet du fait de la poursuite de la cohabitation, en particulier l'attribution de la garde des enfants et la fixation d'un droit de visite ou les contributions d'entretien;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suspendre le caractère exécutoire de l'ordonnance OTPI/715/2025 rendue le 3 novembre 2025 par le Tribunal de première instance dans la cause C/20677/2024. Dit qu'il sera statué sur les frais liés à la présente décision dans l'arrêt au fond. Siégeant : Monsieur Laurent RIEBEN, président; Madame Sandra CARRIER, greffière. Le président : Laurent RIEBEN La greffière : Sandra CARRIER Indication des voies de recours : 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