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C/20385/2014 vom 3. Oktober 2016</w:t>
      </w:r>
    </w:p>
    <w:p>
      <w:r>
        <w:t>GE Cour de justice, 2016-10-03, FR</w:t>
      </w:r>
    </w:p>
    <w:p>
      <w:r>
        <w:rPr>
          <w:b/>
        </w:rPr>
        <w:t xml:space="preserve">Quelle: </w:t>
      </w:r>
      <w:r>
        <w:t>https://mcp.opencaselaw.ch/entscheid/ge_gerichte_C_20385_2014</w:t>
      </w:r>
    </w:p>
    <w:p>
      <w:r>
        <w:t>FR: GE_GERICHTE C/20385/2014 du 3 octobre 2016</w:t>
      </w:r>
    </w:p>
    <w:p>
      <w:r>
        <w:t>IT: GE_GERICHTE C/20385/2014 del 3 ottobre 2016</w:t>
      </w:r>
    </w:p>
    <w:p>
      <w:pPr>
        <w:pStyle w:val="Heading2"/>
      </w:pPr>
      <w:r>
        <w:t>Regeste</w:t>
      </w:r>
    </w:p>
    <w:p>
      <w:r>
        <w:t>RÉSILIATION IMMÉDIATE | CO.337.1</w:t>
      </w:r>
    </w:p>
    <w:p>
      <w:pPr>
        <w:pStyle w:val="Heading2"/>
      </w:pPr>
      <w:r>
        <w:t>Erwägungen</w:t>
      </w:r>
    </w:p>
    <w:p>
      <w:r>
        <w:rPr>
          <w:b/>
        </w:rPr>
        <w:t>E. 3</w:t>
      </w:r>
    </w:p>
    <w:p>
      <w:r>
        <w:t>in initio CO) et il applique les règles du droit et de l'équité (art. 4 CC); à cet effet, il prendra en considération tous les éléments du cas particulier, notamment la position et la responsabilité du travailleur, le type et la durée des rapports contractuels, ainsi que la nature et l'importance des manquements (arrêt du Tribunal fédéral 4A_333/2009 du 3 décembre 2009 consid. 2.2; ATF 137 III 303 consid. 2.1.1 et 130 III 28 consid. 4.1). La comparaison entre le cas de l'examen et d'autres décisions judiciaires doit, au vu du large pouvoir d'appréciation du juge, être effectuée avec circonspection (arrêts du Tribunal fédéral 4A_60/2014 du 22 juillet 2014 consid. 3.2; 4C.247/2006 du 27 octobre 2006 consid. 2.6).</w:t>
      </w:r>
    </w:p>
    <w:p>
      <w:r>
        <w:rPr>
          <w:b/>
        </w:rPr>
        <w:t>E. 3.2</w:t>
      </w:r>
    </w:p>
    <w:p>
      <w:r>
        <w:t>En l'espèce, l'appelante a résilié le contrat de travail la liant avec l'intimé avec effet immédiat le 14 janvier 2014, à la suite d'une altercation survenue la veille, opposant ce dernier à son responsable hiérarchique au sujet de son retour tardif de vacances. Cette dispute a éclaté lorsque son supérieur hiérarchique a insisté pour qu'il lui remette les documents justifiant de son absence. Il ressort des enquêtes, plus particulièrement des témoignages recueillis par le Tribunal, que l'intimé a effectivement proféré des insultes à l'encontre de son supérieur hiérarchique, le traitant notamment de " gros con " et de " pédé ". Il apparaît également que des menaces ont été formulées, sans toutefois que celles-ci n'aient été mises à exécution, possiblement grâce à l'intervention d'un tiers qui a éloigné et calmé l'intimé. Un tel comportement n'est pas admissible et ne peut être toléré sur un lieu de travail. Il n'est en revanche pas de nature à rompre irrémédiablement les rapports de confiance nécessaires aux relations de travail. Les insultes et menaces ont été proférées sous le coup de la colère et n'ont pas été suivies d'actes déplacés. Il ne ressort pas des faits de la cause que l'altercation litigieuse ait produit un grave impact sur la personnalité du responsable hiérarchique ni qu'elle ait entraîné une perte d'autorité de l'employeur. La dispute n'a duré que quelques instants et les différents intervenants ont aussitôt repris leur travail, l'un des témoins ayant déclaré n'être resté qu'une minute et avoir immédiatement poursuivi son activité. Le supérieur hiérarchique ne s'est pas senti en danger, ni psychiquement, ni physiquement, face au comportement de l'intimé, et la dispute ne semble pas avoir marqué les employés présents, puisque les témoins entendus ne se souviennent plus du litige, mise à part la survenance d'une discussion un peu forte. Pris isolément, ce comportement n'atteint ainsi pas un seuil de gravité suffisant pour revêtir un caractère particulièrement inquiétant, ce d'autant plus qu'aux dires du responsable hiérarchique, les relations professionnelles entre l'intimé et lui-même ont été plutôt bonnes au cours de leurs cinq années de collaboration. Quant aux précédents avertissements signifiés à l'intimé par son employeur et à la résiliation ordinaire de son contrat de travail, ces sanctions lui ont été infligées au cours d'une période de temps limitée, à savoir entre février 2010 et juillet 2011, et les comportements alors condamnés n'ont aucun lien avec les agissements du 13 janvier 2014. En effet, à ces occasions, il a été reproché à l'intimé de ne pas avoir respecté le règlement de l'entreprise (en oubliant d'appeler le numéro de sécurité de la société une heure avant sa prise de service) et de ne pas avoir respecté les horaires prévus (en quittant un arrêt de bus avec huit minutes d'avance). De tels manquements sont totalement distincts de ceux du 13 janvier 2014. En outre, s'il est vrai que l'intimé s'est vu reprocher à une reprise d'avoir insulté une passagère mécontente, il n'a pas été établi, ni même allégué, qu'il s'en était déjà pris à ses collègues ou à sa hiérarchie par le passé. En près de dix ans de services et malgré un caractère qualifié de " belliqueux " par l'appelante, l'intimé n'a jamais porté atteinte à la personnalité de ses collègues ni à l'autorité de son employeur. L'un des témoins a d'ailleurs déclaré n'avoir pas connaissance d'autres incidents impliquant l'intimé. Il résulte de ce qui précède que les propos injurieux et menaçants tenus par l'intimé le 13 janvier 2014, bien qu'inadéquats et inadmissibles, ne constituent pas un manquement grave au point de rompre le rapport de confiance nécessaire à la continuation du contrat de travail, à tout le moins jusqu'à un terme ordinaire des relations contractuelles. Il s'ensuit que le licenciement immédiat notifié le lendemain n'était pas justifié, comme l'ont, à juste titre, retenu les premiers juges. Le grief de l'appelante tirée de la violation de l'art. 337 CO n'est donc pas fondé.</w:t>
      </w:r>
    </w:p>
    <w:p>
      <w:r>
        <w:rPr>
          <w:b/>
        </w:rPr>
        <w:t>E. 4</w:t>
      </w:r>
    </w:p>
    <w:p>
      <w:r>
        <w:t>L'appelante conclut à l'annulation des chiffres 2, 3, 4 et 6 du jugement querellé. Si elle conteste, sur le principe, être tenue à une quelconque obligation envers l'intimé en raison du licenciement immédiat qu'elle considère justifié, elle n'émet en revanche aucune critique quant au calcul des montants alloués par le Tribunal à l'intimé.</w:t>
      </w:r>
    </w:p>
    <w:p>
      <w:r>
        <w:rPr>
          <w:b/>
        </w:rPr>
        <w:t>E. 4.1</w:t>
      </w:r>
    </w:p>
    <w:p>
      <w:r>
        <w:t>Aux termes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Cette disposition fait naître une créance en dommages-intérêts: le contrat prend fin en fait et en droit (ATF 117 II 270 ; 135 III 405 ). Le juge peut condamner l'employeur à verser au travailleur une indemnité dont il fixera librement le montant, compte tenu de toutes les circonstances; elle ne peut toutefois dépasser le montant correspondant à six mois de salaire du travailleur (art. 337c al. 3 CO).</w:t>
      </w:r>
    </w:p>
    <w:p>
      <w:r>
        <w:rPr>
          <w:b/>
        </w:rPr>
        <w:t>E. 4.2</w:t>
      </w:r>
    </w:p>
    <w:p>
      <w:r>
        <w:t>C'est, en l'espèce, à juste titre que l'appelant ne critique pas les montants alloués à l'intimé. La somme de 3'248 fr. 35 correspond en effet au salaire que l'intimé aurait perçu si les rapports de travail avaient été résiliés de manière ordinaire, compte tenu du délai de résiliation de deux mois applicable en vertu des art. 335c al. 1 CO, 53 al. 1 de la CCT des sous-traitants TPG en vigueur en janvier 2014 et 52 ch. 1 de la CCT des sous-traitants TPG du 27 août 2014, et de la période de protection résultant de l'incapacité de travail de l'intimé (art. 336 c al. 2 CO, art. 54 ch. 1 lit. b de la CCT des sous-traitants TPG en vigueur en janvier 2014; art. 53 CCT des sous-traitants TPG du 23 août 2014). Son salaire s'élevait à 4'350 fr. en décembre 2013, dont le 80 %, soit un montant de 3'480 fr. par mois, devait être couvert par la conclusion d'une assurance perte de gain, et versé durant le délai d'attente (art. 44 ch. 1 et 2 CCT des sous-traitants TPG en vigueur au mois de janvier 2014). Pour la période allant du 21 janvier au 30 septembre 2014, il avait dès lors droit à la somme de 29'297 fr. 10, soit 1'457 fr. 10 pour la période allant du 21 au 31 janvier 2014 (3'480 fr. / 21.5 jours x 9 jours ouvrables) et 27'840 fr. correspondant aux mois de février à septembre 2014 (8 mois x 3'480 fr.), sous déduction des indemnités journalières qu'il a perçues à concurrence de 26'048 fr. 75 (175 indemnités journalières à raison de 148 fr. 85). Il a également droit à la somme de 3'782 fr. 95 allouée au titre des cotisations à l'assurance-maladie perte de gain pour la période allant du 15 janvier au 30 septembre 2014, correspondant à un montant de 445 fr. 05 par mois sur une période de 8,5 mois. L'indemnité allouée à hauteur de 4000 fr. sur la base de l'art. 337c al. 3 CO est également adéquate au regard des circonstances et de la faute concomitante de l'intimé. Les montants alloués par les premiers juges sont corrects, et seront donc confirmés.</w:t>
      </w:r>
    </w:p>
    <w:p>
      <w:r>
        <w:rPr>
          <w:b/>
        </w:rPr>
        <w:t>E. 4.3</w:t>
      </w:r>
    </w:p>
    <w:p>
      <w:r>
        <w:t>Il en va de même de l'attestation employeur internationale, dès lors que l'intimé a droit, en vertu de l'art. 328 al. 1 CO à ce document sans qu'il soit fait mention de son licenciement avec effet immédiat.</w:t>
      </w:r>
    </w:p>
    <w:p>
      <w:r>
        <w:rPr>
          <w:b/>
        </w:rPr>
        <w:t>E. 5</w:t>
      </w:r>
    </w:p>
    <w:p>
      <w:r>
        <w:t>Au vu de ce qui précède, le recours sera rejeté, et le jugement confirmé.</w:t>
      </w:r>
    </w:p>
    <w:p>
      <w:r>
        <w:rPr>
          <w:b/>
        </w:rPr>
        <w:t>E. 6</w:t>
      </w:r>
    </w:p>
    <w:p>
      <w:r>
        <w:t>La valeur litigieuse étant inférieure à 50'000 fr., il ne sera pas perçu de frais judiciaires (art. 71 RTFMC), ni alloué de dépens (art. 22 al. 2 LaCC). * * * * * PAR CES MOTIFS, La Chambre des prud'hommes, groupe 3 : A la forme : Déclare recevable l'appel formé par A______ contre le jugement du Tribunal des prud'hommes JTPH/40/2016 du 20 janvier 2016. Au fond : Confirme le jugement. Déboute les parties de toutes autres conclusions. Siégeant : Madame Ursula ZEHETBAUER GHAVAMI, présidente; Monsieur Tito VILA, juge employeur; Monsieur Michel DE COTE, juge salarié; Madame Véronique BULUNDWE-LEVY, greffière. Indication des voies de recours et valeur litigieuse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