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C/20321/2012 vom 25. September 2018</w:t>
      </w:r>
    </w:p>
    <w:p>
      <w:r>
        <w:t>GE Cour de justice, 2018-09-25, FR</w:t>
      </w:r>
    </w:p>
    <w:p>
      <w:r>
        <w:rPr>
          <w:b/>
        </w:rPr>
        <w:t xml:space="preserve">Quelle: </w:t>
      </w:r>
      <w:r>
        <w:t>https://mcp.opencaselaw.ch/entscheid/ge_gerichte_C_20321_2012</w:t>
      </w:r>
    </w:p>
    <w:p>
      <w:r>
        <w:t>FR: GE_GERICHTE C/20321/2012 du 25 septembre 2018</w:t>
      </w:r>
    </w:p>
    <w:p>
      <w:r>
        <w:t>IT: GE_GERICHTE C/20321/2012 del 25 settembre 2018</w:t>
      </w:r>
    </w:p>
    <w:p>
      <w:pPr>
        <w:pStyle w:val="Heading2"/>
      </w:pPr>
      <w:r>
        <w:t>Regeste</w:t>
      </w:r>
    </w:p>
    <w:p>
      <w:r>
        <w:t>CC.273.al1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Les pièces nouvellement déposées devant la Chambre de céans par les parents du mineur sont recevables, dans la mesure où l'art. 53 LaCC, qui régit de manière exhaustive les actes accomplis par les parties en seconde instance, à l'exclusion du CPC, ne prévoit aucune restriction en cette matière.</w:t>
      </w:r>
    </w:p>
    <w:p>
      <w:r>
        <w:rPr>
          <w:b/>
        </w:rPr>
        <w:t>E. 1.4</w:t>
      </w:r>
    </w:p>
    <w:p>
      <w:r>
        <w:t>Le recours peut être formé pour violation du droit, constatation fausse ou incomplète des faits pertinents et inopportunité de la décision (art. 450a al. 1 CC).</w:t>
      </w:r>
    </w:p>
    <w:p>
      <w:r>
        <w:rPr>
          <w:b/>
        </w:rPr>
        <w:t>E. 2</w:t>
      </w:r>
    </w:p>
    <w:p>
      <w:r>
        <w:t>La recourante conteste l'expertise familiale réalisée, et en sollicite l'annulation, au motif qu'elle n'a pas été supervisée par un médecin spécialiste FMH en psychiatrie et ne respecte pas les normes applicables, alors que des diagnostics médicaux psychiatriques ont été posés, sur lesquels les experts, puis le Tribunal de protection, se sont fondés pour proposer, respectivement fixer, un droit de visite élargi du père sur l'enfant. Elle sollicite une nouvelle expertise psychiatrique familiale. Elle ne s'oppose pas à un élargissement du droit de visite mais souhaite qu'il soit fixé conformément aux recommandations de la pédopsychiatre du mineur, la Dre F______.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2.1.2 Pour trancher le sort des enfants, le juge peut ordonner une expertise. Toutefois, il n'est pas lié par les conclusions qui en ressortent, mais doit les apprécier en tenant compte de l'ensemble des autres preuves administrées. Néanmoins, le juge ne saurait s'écarter sans raison sérieuse de l'expertise et doit motiver sa décision à cet égard (ATF 133 II 384 consid. 4.2.3; 129 I 49 consid. 4; 128 I 81 consid. 2; arrêts du Tribunal fédéral 5A_478/2016 du 10 mars 2017 consid. 5.2.2 et 5A_794/2017 du 7 février 2018 consid. 4.1). Il n'a toutefois en principe pas l'obligation de mettre en oeuvre une telle mesure probatoire et peut fonder sa conviction sur d'autres moyens de preuve à sa disposition (arrêt du Tribunal fédéral 5A_905/2011 du 28 mars 2012 consid. 2.5). Il peut ainsi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5A_512/2017 du 22 décembre 2017 consid. 3.4.1 et 5A_794/2017 du 7 février 2018 consid. 4.1). 2.2.1 En l'espèce, le père du mineur a déposé en octobre 2016 devant le Tribunal de protection une requête tendant à l'élargissement de son droit de visite sur son fils à la nuit du mardi au mercredi, chaque semaine, ainsi qu'aux nuits du vendredi et du dimanche, une semaine sur deux. C'est la seule requête que devait examiner le Tribunal de protection. On peine ainsi à comprendre en quoi une expertise psychiatrique du groupe familial était de nature à résoudre cette question, ce d'autant que la mère était d'accord avec un léger élargissement du droit de visite, dont il convenait uniquement d'arrêter les modalités. L'expertise psychiatrique réalisée, outre le fait qu'elle est critiquable, dès lors qu'elle n'a été ni exécutée, ni supervisée par un expert psychiatre FMH, n'est par ailleurs d'aucun secours pour répondre à la question de l'élargissement du droit de visite du père, la mission confiée aux experts n'étant pas de se déterminer sur cette problématique, mais plus largement, d'analyser les capacités parentales des deux parents, de déterminer le lieu de vie le plus approprié pour le mineur, de préconiser son mode de garde, voire son placement hors milieu familial (sic) ou de formuler toute autre proposition dans son intérêt, toutes questions qui ne faisaient pas l'objet de la procédure et qu'aucun élément alarmant concernant l'enfant, qui aurait pu justifier une telle expertise, ne ressortait du dossier. Une expertise psychiatrique familiale étant, à la base, inutile pour déterminer la nécessité d'un élargissement du droit de visite du père, la demande de réalisation d'une nouvelle expertise, sollicitée par la recourante, doit également être rejetée. 2.2.2 Dès le dépôt de la requête, la recourante a affirmé qu'elle était d'accord sur le principe de l'élargissement du droit de visite du père, si ce n'est avec ses modalités. Elle a cependant émis des doutes sur la correcte prise en charge du mineur par son père, initialement en lien avec une consommation excessive d'alcool par ce dernier puis, par la suite, de manière confuse et générale, sans jamais décrire de situations préoccupantes. Elle a toutefois reconnu que l'alcoolisation du père était occasionnelle et festive et n'avait jamais impacté son droit de visite sur l'enfant, qui s'était toujours bien passé. Le père du mineur s'est d'ailleurs soumis à des tests sanguins qui ont révélé que sa consommation d'alcool n'était pas régulièrement excessive. Il s'est encore déclaré d'accord de se soumettre à un test capillaire afin de rassurer complètement la recourante sur cette question, ce dont le Tribunal de protection lui a donné acte. Le Service de protection des mineurs n'a, quant à lui, jamais constaté que le père était inadéquat dans la prise en charge du mineur, au contraire, et préconisait déjà dans son rapport du 5 octobre 2016 un élargissement de son droit de visite. Il était toutefois préoccupé par le conflit parental massif, le manque de dialogue entre les parents et les difficultés dans l'organisation du droit de visite. Le principe de l'élargissement du droit de visite du père, qui n'est remis en cause par aucun des intervenants, étant acquis, il reste à en fixer les modalités. 2.2.3 Initialement, le père sollicitait un droit de visite étendu à la nuit du mardi au mercredi, relevant le manque de temps à partager avec l'enfant en raison de la nécessité de devoir le ramener à 20h00 chez sa mère, ce qui stressait père et fils et était source de conflit avec la mère, qui lui reprochait de ramener le mineur en retard chaque semaine. Il souhaitait également bénéficier d'un week-end complet, tous les quinze jours, soit du vendredi soir au lundi matin, afin de pouvoir profiter pleinement de la présence de son fils et partager des activités avec lui, voire partir en week-end. Il a toutefois amplifié ses conclusions lors de l'audience du 25 septembre 2018 tenue par le Tribunal de protection après expertise, sollicitant que le droit de visite soit dorénavant fixé une semaine sur deux du mercredi 18h00 au mardi suivant à la reprise de l'école. La mère ne travaillant pas le mercredi, ce qui n'était pas son cas, il était préférable qu'elle puisse s'occuper de l'enfant ce jour-là. Le Tribunal de protection, considérant que la mère ne s'était pas opposée au droit de visite proposé par le père lors de cette audience, sous réserve de l'heure de transfert le mercredi - et se fondant sur les résultats de l'expertise - a accédé aux conclusions du père. C'est toutefois à tort que le Tribunal de protection a considéré que la recourante avait accepté sans réserve un droit de visite aussi élargi, cette dernière ayant émis des réserves relatives au nombre de nuits chez le père que ce droit de visite impliquait, l'enfant n'y étant pas habitué. Aucun accord n'est intervenu à ce sujet, contrairement au partage des vacances scolaires qui a fait l'objet d'un consensus entre les parents, le Tribunal de protection n'ayant toutefois pas repris, pour une raison inconnue, l'accord trouvé par ces derniers concernant la prise en charge du mineur le 24 décembre de chaque année par sa mère. Le Service de protection des mineurs, dans ses dernières recommandations du 22 août 2018, a quant à lui préconisé un droit de visite alterné, soit une semaine du mardi soir après l'école au jeudi matin à la reprise de l'école, puis la semaine suivante du jeudi soir après l'école au lundi matin à la reprise de l'école, ainsi que durant la moitié des vacances scolaires, sans autre examen. La recourante, dans son acte de recours, ne souhaite quant à elle plus qu'un élargissement du droit de visite à un week-end sur deux du vendredi soir à la sortie de l'école au dimanche soir 18h00, revenant sur la prise en charge du mardi soir, même actuelle, sans en exposer les motifs. L'intérêt du mineur, que les curateurs qualifient d'anxieux et qui est pris dans un conflit incessant entre ses parents concernant sa prise en charge, impose de fixer dorénavant un cadre clair et précis qui ne devrait pas être remis en cause sans raisons impérieuses et ce, pour la sérénité et le bon développement de l'enfant. Ainsi, pour ramener un certain calme, il convient d'éviter que les parents ne se côtoient trop, afin de limiter les tensions relatives aux horaires de prise en charge et permettre ainsi à l'enfant de pouvoir profiter sereinement de chacun de ses parents, sans conflits stériles, nuisibles à sa santé. Le passage de l'enfant à l'école doit donc être privilégié. Par ailleurs, le droit de visite doit permettre au parent de s'occuper personnellement de l'enfant, ce qui ne semble pas être le cas si l'enfant est confié à son père le mercredi puisque ce dernier travaille tandis que sa mère est disponible pour l'accompagner à ses activités. L'enfant est habitué à voir son père chaque semaine et rien ne justifie que tel ne soit plus le cas, de sorte que la recourante ne saurait être suivie dans la suppression de tout contact en semaine. Toutefois, il semble prématuré de fixer un droit de visite trop large, à savoir plus de cinq jours d'affilé chez le père, comme le Tribunal de protection l'a fait, l'enfant n'y étant ni habitué, ni préparé et les conditions de son accueil sur une si longue période n'ayant pas été examinées par le Service de protection des mineurs, malgré la longueur de la procédure. Ainsi, au vu de l'ensemble du dossier et afin de tenir compte de l'évolution de la situation et du temps écoulé, la Chambre de céans fixera, dans l'intérêt du mineur, le droit de visite du père une semaine sur deux du mercredi 18h00 au jeudi retour à l'école, la semaine où le père ne bénéficie pas de droit de visite le week-end, et la semaine suivante du vendredi à la sortie de l'école au lundi matin retour à l'école, ce qui correspond à quelques modifications près à la demande initiale du père, soumise ab initio au Tribunal de protection. S'agissant des vacances scolaires, leur fixation par le Tribunal de protection ne soulève pas de critique de la part de la recourante, hormis le 24 décembre dont elle souhaite bénéficier chaque année, ce sur quoi les parents se sont déclarés d'accord lors de leur audition par le Tribunal de protection, accord qui n'a toutefois pas été repris dans l'ordonnance contestée. Le chiffre 1 dispositif de l'ordonnance querellée sera donc modifié dans le sens des considérants. 2.2.4 S'agissant des conclusions relatives à l'élargissement futur du droit de visite formulées par la recourante, qu'elle souhaite à l'avenir voir fixer selon un calendrier élaboré d'entente entre les curateurs et la pédopsychiatre de l'enfant, il n'y sera pas donné suite dès lors qu'il appartiendra à l'un ou l'autre des parents, sur la base de motifs sérieux, de solliciter une modification du droit de visite en temps opportun, ou aux curateurs de la suggérer si nécessaire, à charge au Tribunal de protection, saisi d'une nouvelle demande, de l'analyser à l'aune des éléments en sa possession. Cette conclusion, non formulée en première instance, ne fait au demeurant pas l'objet de l'ordonnance contestée, étant précisé que la Cour, qui statue sur recours, n'est au surplus pas compétente pour en connaître. 2.2.5 La recourante conteste la limitation de la fréquence des relations téléphoniques avec le parent qui n'a pas la garde de l'enfant à une ou deux par semaine, pour les voir fixer à trois au minimum. Elle relève que le Tribunal de protection s'est basé sur un état de fait erroné en considérant qu'elle transmettait ses angoisses au mineur. Elle oublie cependant que cette limitation est également valable pour le père. Elle n'expose par ailleurs pas en quoi un nombre de contacts téléphoniques plus élevé serait dans l'intérêt du mineur, de sorte que son grief sera rejeté. 2.2.6 La recourante souhaite encore que le père qui s'est déclaré d'accord d'effectuer un test capillaire, ce dont il lui a été donné acte, y soit condamné, et veut qu'il soit encore astreint, sur une période qu'elle ne précise pas, à effectuer des tests sanguins et capillaires et à en communiquer le résultat à elle-même et au Service de protection des mineurs. Cette conclusion nouvelle, non formulée en première instance, et dont la recourante ne tire aucune conséquence sur le droit de visite, sera déclarée irrecevable.</w:t>
      </w:r>
    </w:p>
    <w:p>
      <w:r>
        <w:rPr>
          <w:b/>
        </w:rPr>
        <w:t>E. 3</w:t>
      </w:r>
    </w:p>
    <w:p>
      <w:r>
        <w:t>La recourante conclut à ce qu'il lui soit donné acte de ce qu'elle a déjà organisé le suivi pédopsychiatrique de l'enfant, ainsi que son propre suivi psycho-thérapeutique, et de ce qu'elle a déjà délié le médecin du secret médical à l'égard des curateurs du mineur. Elle reprend, pour le surplus, le dispositif de l'ordonnance du Tribunal de protection qu'elle fait sien.</w:t>
      </w:r>
    </w:p>
    <w:p>
      <w:r>
        <w:rPr>
          <w:b/>
        </w:rPr>
        <w:t>E. 3.1</w:t>
      </w:r>
    </w:p>
    <w:p>
      <w:r>
        <w:t>Comme toute autre voie de droit, le recours prévu par l'art. 450 CC suppose un intérêt actuel et digne de protection du recourant (art. 59 al. 2 let. a CPC; l'art. 31 al. 1 let. d LaCC; Droese/Steck, Zivilgesetzbuch I (Basler Kommentar), 2018, Geiser/Fountoulakis, n. 27a ad art. 450).</w:t>
      </w:r>
    </w:p>
    <w:p>
      <w:r>
        <w:rPr>
          <w:b/>
        </w:rPr>
        <w:t>E. 3.2</w:t>
      </w:r>
    </w:p>
    <w:p>
      <w:r>
        <w:t>La recourante ne dispose d'aucun intérêt digne de protection à se voir donner acte de ce qu'elle a déjà effectué certaines démarches, qu'elle s'était déclarée d'accord d'accomplir devant le premier juge. Ses conclusions sont donc irrecevables, à cet égard.</w:t>
      </w:r>
    </w:p>
    <w:p>
      <w:r>
        <w:rPr>
          <w:b/>
        </w:rPr>
        <w:t>E. 4</w:t>
      </w:r>
    </w:p>
    <w:p>
      <w:r>
        <w:t>La procédure qui porte sur la question des relations personnelles n'est pas gratuite (art. 19 LaCC; art. 67B du Règlement fixant le tarif des frais en matière civile). Les frais judiciaires seront fixés à 800 fr., partiellement compensés avec l'avance effectuée par la recourante qui reste acquise à l'Etat et mis à la charge des parties par moitié, vu l'issue du litige. B______ sera donc condamné à verser la somme de 400 fr. aux Services financiers du Pouvoir judiciaire. Il n 'est pas alloué de dépens, vu la nature du litige. * * * * * PAR CES MOTIFS, La Chambre de surveillance : A la forme : Déclare recevable le recours formé le 28 décembre 2018 par A______ contre l'ordonnance DTAE/6952/2018 , rendue par le Tribunal de protection de l'adulte et de l'enfant le 25 septembre 2018 dans la cause C/20321/2012-9. Au fond : L'admet partiellement et cela fait, statuant à nouveau : Modifie le chiffre 1 du dispositif de l'ordonnance. Fixe le droit de visite de B______ sur son fils E______, né le ______ 2012, une semaine sur deux, soit la semaine où il ne bénéficie pas du droit de visite le week-end, du mercredi 18h00 au jeudi matin retour à l'école et, la semaine suivante, du vendredi à la sortie de l'école au lundi matin retour à l'école. Confirme le droit de visite durant les vacances scolaires tel que fixé au chiffre 1 du dispositif de l'ordonnance, à l'exclusion du jour du 24 décembre de chaque année, qui sera attribué à A______. Confirme l'ordonnance pour le surplus. Déboute les parties de toutes autres conclusions. Sur les frais : Arrête les frais judiciaires à 800 fr. et les compense partiellement avec l'avance effectuée, qui reste à acquise à l'Etat de Genève. Dit que les frais judiciaires sont mis par moitié à charge de chacune des parties. Condamne en conséquence B______ à verser la somme de 400 fr. aux Services financiers du Pouvoir judiciaire.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 RS. 173. 110 ), la présente décision peut être portée dans les trente jours qui suivent sa notification avec expédition complète (art. 100 al. 1 LTF) par-devant le Tribunal fédéral par la voie du recours en matière civile. Le recours doit être adressé au Tribunal fédé1ral,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