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C/20157/2020 vom 28. Juni 2022</w:t>
      </w:r>
    </w:p>
    <w:p>
      <w:r>
        <w:t>GE Cour de justice, 2022-06-28, FR</w:t>
      </w:r>
    </w:p>
    <w:p>
      <w:r>
        <w:rPr>
          <w:b/>
        </w:rPr>
        <w:t xml:space="preserve">Quelle: </w:t>
      </w:r>
      <w:r>
        <w:t>https://mcp.opencaselaw.ch/entscheid/ge_gerichte_C_20157_2020</w:t>
      </w:r>
    </w:p>
    <w:p>
      <w:r>
        <w:t>FR: GE_GERICHTE C/20157/2020 du 28 juin 2022</w:t>
      </w:r>
    </w:p>
    <w:p>
      <w:r>
        <w:t>IT: GE_GERICHTE C/20157/2020 del 28 giugno 2022</w:t>
      </w:r>
    </w:p>
    <w:p>
      <w:pPr>
        <w:pStyle w:val="Heading2"/>
      </w:pPr>
      <w:r>
        <w:t>Regeste</w:t>
      </w:r>
    </w:p>
    <w:p>
      <w:r>
        <w:t>ACTION EN PAIEMENT D'ENTRETIEN;DOMICILE;GARDE ALTERNÉE;OBLIGATION D'ENTRETIEN;MINORITÉ(ÂGE);ENFANT;INDEXATION(MONTANT);INDICE DES PRIX À LA CONSOMMATION;AVANCE DE FRAIS | CC.276; CC.285.al1; CC.286.al1; CC.286.al3</w:t>
      </w:r>
    </w:p>
    <w:p>
      <w:pPr>
        <w:pStyle w:val="Heading2"/>
      </w:pPr>
      <w:r>
        <w:t>Erwägungen</w:t>
      </w:r>
    </w:p>
    <w:p>
      <w:r>
        <w:rPr>
          <w:b/>
        </w:rPr>
        <w:t>E. 1.1</w:t>
      </w:r>
    </w:p>
    <w:p>
      <w:r>
        <w:t>L'enfant a agi devant le Tribunal à l'encontre de son père en aliments et en fixation des relations personnelles. Toutefois, compte tenu des conclusions prises par le père en cours de procédure de première instance tendant à l'instauration d'une garde alternée, la mère de l'enfant - qui a pris part à la procédure et a pu s'exprimer - sera également désignée en qualité de partie.</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145 al. 1 let. a et 311 al. 1 CPC), est recevable.</w:t>
      </w:r>
    </w:p>
    <w:p>
      <w:r>
        <w:rPr>
          <w:b/>
        </w:rPr>
        <w:t>E. 1.3</w:t>
      </w:r>
    </w:p>
    <w:p>
      <w:r>
        <w:t>Formé dans la réponse à l'appel (art. 313 al. 1 CPC) et dans le respect des formes énoncées ci-dessus, l'appel joint est également recevable. Par souci de simplification et pour respecter le rôle initial des parties en appel, le père sera ci-après désigné en qualité d'appelant et la mère et l'enfant en qualité d'intimées.</w:t>
      </w:r>
    </w:p>
    <w:p>
      <w:r>
        <w:rPr>
          <w:b/>
        </w:rPr>
        <w:t>E. 1.4</w:t>
      </w:r>
    </w:p>
    <w:p>
      <w:r>
        <w:t>La Cour revoit la cause en fait et en droit avec un plein pouvoir d'examen (art. 310 CPC). La présente cause est ainsi soumise aux maximes d'office et inquisitoire illimitée en tant qu'elle concerne une enfant mineure (art. 296 al. 1 et 3 CPC; ATF 147 III 301 consid. 2.2). La Cour n'est donc pas liée par les conclusions des parties ni par l'interdiction de la reformatio in pejus (ATF 129 III 417 consid. 2.1.1; arrêt du Tribunal fédéral 5A_843/2018 du 12 février 2020 consid. 5.2).</w:t>
      </w:r>
    </w:p>
    <w:p>
      <w:r>
        <w:rPr>
          <w:b/>
        </w:rPr>
        <w:t>E. 1.5</w:t>
      </w:r>
    </w:p>
    <w:p>
      <w:r>
        <w:t>Les parties ont produit des pièces nouvelles relatives aux relations personnelles et à leurs situations financières respectives.</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1.5.2</w:t>
      </w:r>
    </w:p>
    <w:p>
      <w:r>
        <w:t>Les pièces nouvelles produites en appel sont, ainsi, recevables.</w:t>
      </w:r>
    </w:p>
    <w:p>
      <w:r>
        <w:rPr>
          <w:b/>
        </w:rPr>
        <w:t>E. 1.6</w:t>
      </w:r>
    </w:p>
    <w:p>
      <w:r>
        <w:t>Les parties ont modifié leurs conclusions en appel.</w:t>
      </w:r>
    </w:p>
    <w:p>
      <w:r>
        <w:rPr>
          <w:b/>
        </w:rPr>
        <w:t>E. 1.6.1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w:t>
      </w:r>
    </w:p>
    <w:p>
      <w:r>
        <w:rPr>
          <w:b/>
        </w:rPr>
        <w:t>E. 1.6.2</w:t>
      </w:r>
    </w:p>
    <w:p>
      <w:r>
        <w:t>Les nouvelles conclusions – qui portent sur les droits parentaux et l'entretien d'une enfant mineure – ont été formulées avant la mise en délibération et sont soumises à la maxime d'office, de sorte qu'elles sont recevables, indépendamment de la réalisation des conditions posées par l'art. 317 al. 2 CPC.</w:t>
      </w:r>
    </w:p>
    <w:p>
      <w:r>
        <w:rPr>
          <w:b/>
        </w:rPr>
        <w:t>E. 2</w:t>
      </w:r>
    </w:p>
    <w:p>
      <w:r>
        <w:t>L'appelant reproche au Tribunal de ne pas avoir instauré une garde alternée sur sa fille. Il fait valoir que la relation parentale n'est plus conflictuelle, que la communication entre les parents s'est améliorée et qu'il ne comprend pas la raison pour laquelle la communication serait, selon le Tribunal, suffisante pour un droit de visite très élargi et six semaines de vacances par année, mais ne le serait pas pour une garde alternée avec passage de l'enfant au jardin d'enfants ou à l'école. Sa prise en charge de B______ se déroule bien, selon lui, notamment lorsque celle-ci a passé douze jours consécutifs avec lui lors de l'isolement pour cause de COVID-19 de la mère. Les parents disposent tous deux d'horaires de travail flexibles et ils habitent à proximité. L'enfant est contente d'aller chez lui et s'adapte facilement au changement, de sorte que l'intensification de leurs contacts au moment de l'entrée à l'école ne saurait être un facteur bouleversant (si tant est qu'on admettrait que la rentrée scolaire en serait un). Il relève enfin que, pour la mère, l'instauration d'une garde alternée serait à terme la solution idéale, ce que cette dernière admet pour autant qu'il y ait une communication parentale adéquate, laquelle ferait, selon elle, défaut. La mère considère qu'il convient de tenir compte des besoins de B______ au regard de son âge et de son environnement familial de référence, que l'enfant a besoin de stabilité (stabilité qui serait à ce jour très fragile) et de renouer avec son père de manière progressive, qu'une garde alternée aurait pour conséquence de l'éloigner de son frère D______ avec qui elle a toujours vécu et a de très fortes attaches, que, pour toutes ces raisons, l'instauration d'une garde alternée devrait attendre et que la préservation des liens de la fratrie serait prioritaire sur celle des liens entre le père et l'enfant. Elle conteste que B______ aille bien et en veut pour preuve le suivi de l'enfant auprès d'une psychothérapeute. Le père souligne que l'on ne saurait renoncer à une garde alternée dans le cas de famille recomposée sous prétexte de ne pas séparer une fratrie (étant relevé qu'il accueillerait également D______ si celui-ci le souhaitait) et que le temps que B______ passe avec lui est tout aussi précieux.</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2.2</w:t>
      </w:r>
    </w:p>
    <w:p>
      <w:r>
        <w:t>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w:t>
      </w:r>
    </w:p>
    <w:p>
      <w:r>
        <w:rPr>
          <w:b/>
        </w:rPr>
        <w:t>E. 2.3</w:t>
      </w:r>
    </w:p>
    <w:p>
      <w:r>
        <w:t>En l'espèce, l'appelant exerce un large droit de visite sur B______ de manière régulière depuis de nombreux mois, de sorte qu'il existe déjà un lien père-fille établi et stable. L'enfant passe plusieurs jours consécutifs avec son père, respectivement au moins une semaine lors des vacances; elle a passé jusqu'à douze jours lors du placement un isolement pour cause de COVID-19 de la mère en novembre 2021. L'exercice des relations personnelles s'est jusqu'à présent bien déroulé, dès lors que la mère n'a relevé aucun incident - en particulier s'agissant de ses inquiétudes sur une consommation excessive d'alcool par le père -, si ce n'est qu'elle n'aurait pu parler qu'à deux reprises à sa fille lors de son isolement, ce qui n'est pas déterminant dès lors qu'il n'est pas avéré - ni même allégué - que sa fille en aurait souffert et qu'il ressort des échanges de messages entre les parents que la mère a reçu des nouvelles régulièrement. Le fait que l'enfant ait besoin de temps pour retrouver ses marques lors du passage d'un parent à l'autre n'a rien d'anormal; des passages continueront à être nécessaires, qu'une garde alternée soit instaurée ou non, étant relevé que cette dernière solution aurait pour conséquence d'en diminuer la fréquence. Il est par ailleurs admis que chacun des parents organise son temps et son mode de vie à sa guise, tout en respectant les besoins de l'enfant. Rien ne permet de mettre en lien le suivi psychothérapeutique de B______ – lequel a en tout état pris fin en décembre 2021 – avec sa relation avec son père ou un comportement problématique adopté par ce dernier, la mère se contentant d'alléguer que sa fille n'irait " pas si bien que cela " sans plus de précisions. Le fait que l'instauration d'une garde alternée aurait pour conséquence d'éloigner B______ de son demi-frère ne saurait constituer un obstacle de principe, d'autant que l'enfant se rend chez son père sans son demi-frère depuis environ deux ans sans qu'aucune difficulté n'ait été alléguée à cet égard. A cela s'ajoute que les deux parents disposent de compétences parentales adéquates, que la communication parentale s'est nettement améliorée depuis plus d'une année, que les parents ont été en mesure d'échanger et de s'organiser concernant la prise en charge de leur fille, qu'ils habitent à proximité l'un de l'autre et qu'ils font preuve tous deux de beaucoup de disponibilité et de flexibilité. Enfin, rien ne permet de retenir que l'instauration d'une garde alternée ou l'entrée de l'enfant à l'école serait nécessairement vécue comme un bouleversement par B______, la mise en place de cette nouvelle modalité de prise en charge durant les vacances d'été ou lors de la rentrée scolaire apparaissant au contraire propice à un tel changement. Au vu de tous ces éléments, il apparaît conforme à l'intérêt de B______ d'instaurer une garde alternée. La mère n'ayant formulé aucune contestation à l'encontre de la modalité proposée par le père, cette mesure devra être exercée d'entente entre les parents et, à défaut, à raison d'une semaine sur deux avec passage de l'enfant les lundis matin lors de la dépose de l'enfant à l'école et de la moitié des vacances scolaires chez chacun des parents durant au maximum deux semaines consécutives.</w:t>
      </w:r>
    </w:p>
    <w:p>
      <w:r>
        <w:rPr>
          <w:b/>
        </w:rPr>
        <w:t>E. 2.4</w:t>
      </w:r>
    </w:p>
    <w:p>
      <w:r>
        <w:t>Par conséquent, le chiffre 1 du dispositif du jugement entrepris sera annulé et il sera statué à nouveau dans le sens de ce qui précède. Le chiffre 2 du dispositif de la décision attaquée sera également annulé, la règlementation du droit de visite n'ayant plus d'objet.</w:t>
      </w:r>
    </w:p>
    <w:p>
      <w:r>
        <w:rPr>
          <w:b/>
        </w:rPr>
        <w:t>E. 3</w:t>
      </w:r>
    </w:p>
    <w:p>
      <w:r>
        <w:t>Compte tenu de la garde partagée instaurée, se pose la question du domicile légal de l'enfant.</w:t>
      </w:r>
    </w:p>
    <w:p>
      <w:r>
        <w:rPr>
          <w:b/>
        </w:rPr>
        <w:t>E. 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rPr>
          <w:b/>
        </w:rPr>
        <w:t>E. 3.2</w:t>
      </w:r>
    </w:p>
    <w:p>
      <w:r>
        <w:t>En l'occurrence, la mère ayant jusqu'à présent pris en charge de manière prépondérante B______, il se justifie, conformément aux conclusions de l'appelant, de fixer le domicile légal de l'enfant chez celle-ci.</w:t>
      </w:r>
    </w:p>
    <w:p>
      <w:r>
        <w:rPr>
          <w:b/>
        </w:rPr>
        <w:t>E. 4</w:t>
      </w:r>
    </w:p>
    <w:p>
      <w:r>
        <w:t>Les parties remettent en cause la contribution à l'entretien de B______ fixée par le premier juge.</w:t>
      </w:r>
    </w:p>
    <w:p>
      <w:r>
        <w:rPr>
          <w:b/>
        </w:rPr>
        <w:t>E. 4.1</w:t>
      </w:r>
    </w:p>
    <w:p>
      <w:r>
        <w:t>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des père et mère, compte tenu de la fortune et des revenus de l'enfant (art. 285 al. 1 CC). Les allocations familiales font toujours partie des revenus de l'enfant et viennent en sus de la contribution d'entretien lorsqu'elles sont versées à la personne tenue de pourvoir à l'entretien de l'enfant (art. 285 a al. 1 CC).</w:t>
      </w:r>
    </w:p>
    <w:p>
      <w:r>
        <w:rPr>
          <w:b/>
        </w:rPr>
        <w:t>E. 4.2</w:t>
      </w:r>
    </w:p>
    <w:p>
      <w:r>
        <w:t>Dans trois arrêts publiés (ATF 147 III 265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garde alternée, la répartition entre les parents de la charge financière de l'enfant intervient en proportion de leurs capacités contributives respectives (ATF 147 III 265 consid. 5.5).</w:t>
      </w:r>
    </w:p>
    <w:p>
      <w:r>
        <w:rPr>
          <w:b/>
        </w:rPr>
        <w:t>E. 4.3</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 Le montant de la charge fiscale est une question de fait (arrêt du Tribunal fédéral 5A_57/2017 du 9 juin 2017 consid. 4.3.2). Les allocations familiales doivent par ailleurs être retranchées du coût de l'enfant (arrêt du Tribunal fédéral 5A_743/2017 du 22 mai 2019 consid. 5.2.3).</w:t>
      </w:r>
    </w:p>
    <w:p>
      <w:r>
        <w:rPr>
          <w:b/>
        </w:rPr>
        <w:t>E. 4.4</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 ACJC/172/2019 du 5 février 2019 consid. 2.2).</w:t>
      </w:r>
    </w:p>
    <w:p>
      <w:r>
        <w:rPr>
          <w:b/>
        </w:rPr>
        <w:t>E. 4.5</w:t>
      </w:r>
    </w:p>
    <w:p>
      <w:r>
        <w:t>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JT 1992 I 323 ; arrêts du Tribunal fédéral 5C_171/2006 du 13 juin 2006 consid. 5.1 et 5C_271/2005 du 23 mars 2006 consid. 11.2; Pichonnaz, Commentaire Romand, 2010, CC I, n° 9 ad art. 128 CC; Perrin, Commentaire romand CC I, 2010, n° 7 ad. art. 286 CC).</w:t>
      </w:r>
    </w:p>
    <w:p>
      <w:r>
        <w:rPr>
          <w:b/>
        </w:rPr>
        <w:t>E. 4.6</w:t>
      </w:r>
    </w:p>
    <w:p>
      <w:r>
        <w:t>En l'espèce, il n'est pas contesté que la situation financière des parties peut être arrêtée en tenant compte de leurs minimas vitaux selon le droit de la famille au vu de leurs revenus et que le dies a quo doit être fixé au 9 octobre 2019, date du jour du dépôt de la demande.</w:t>
      </w:r>
    </w:p>
    <w:p>
      <w:r>
        <w:rPr>
          <w:b/>
        </w:rPr>
        <w:t>E. 4.6.1</w:t>
      </w:r>
    </w:p>
    <w:p>
      <w:r>
        <w:t>L'appelant perçoit un salaire net total de 6'978 fr. par mois. S'agissant de ses charges, il ne sera pas tenu compte de frais d'exercice du droit de visite avant l'instauration de la garde alternée, dans la mesure où le montant de base du débiteur est admis à hauteur de 1'350 fr. au lieu de 1'200 fr. pour tenir compte du droit de visite élargi. Sera, en revanche, comptabilisé son loyer effectif, dès lors qu'au vu de la situation du marché immobilier à Genève, il ne saurait être exigé de l'appelant qu'il déménage pour louer un appartement de quatre pièces au risque de s'éloigner du domicile de la mère et de devoir s'acquitter d'un loyer qui ne serait pas nécessairement significativement inférieur, le loyer de la mère pour un tel appartement n'étant, à titre d'exemple, inférieur que de 350 fr. Partant, les charges selon le minimum du droit de la famille de l'appelant s'élèvent à 5'816 fr. par mois, respectivement à 5'567 fr. dès juillet 2022 (cf. supra EN FAIT let. E.d; comprenant 85% de son loyer, soit 2'546 fr. dès juillet 2022, des impôts estimés à environ 900 fr. au moyen de la calculette disponible sur le site de l'Administration fiscale genevoise, respectivement de 1'100 fr. dès juillet 2022, sous déduction de 100 fr. de frais d'exercice du droit de visite). L'appelant bénéficie, ainsi, d'un solde de 1'162 fr. entre octobre 2019 et août 2022, puis de 1'411 fr. dès juillet 2022.</w:t>
      </w:r>
    </w:p>
    <w:p>
      <w:r>
        <w:rPr>
          <w:b/>
        </w:rPr>
        <w:t>E. 4.6.2</w:t>
      </w:r>
    </w:p>
    <w:p>
      <w:r>
        <w:t>La mère a réalisé un salaire net de 3'424 fr. 80 par mois en 2019, respectivement un salaire moyen net de 4'254 fr. 45 entre janvier et août 2020. Depuis septembre 2020, elle perçoit un salaire mensuel net de 4'577 fr. 50. Son salaire moyen net s'est ainsi élevé à 4'362 fr. par mois en 2020 et à 4'577 fr. 50 depuis janvier 2021. Ses charges selon le minimum du droit de la famille se montent à 3'492 fr. par mois, puis à 3'469 fr. dès juillet 2022 (cf. supra EN FAIT let. E.c; comprenant des impôts estimés à 25 fr. par mois jusqu'en juin 2022, puis à 2 fr. dès juillet 2022). Elle assume en sus l'entier des charges de son fils D______, lesquelles s'élèvent à 762 fr. La mère a, dès lors, fait face à un déficit de 829 fr. entre octobre et décembre 2019, puis a bénéficié d'un solde disponible d'environ 108 fr. en 2020, respectivement de 323 fr. entre janvier 2021 et juin 2022 et de 346 fr. dès juillet 2022.</w:t>
      </w:r>
    </w:p>
    <w:p>
      <w:r>
        <w:rPr>
          <w:b/>
        </w:rPr>
        <w:t>E. 4.6.3</w:t>
      </w:r>
    </w:p>
    <w:p>
      <w:r>
        <w:t>Les charges mensuelles selon le minimum du droit de la famille de B______ s'élèvent à 1'010 fr., à 541 fr. dès le 1 er juillet 2022, à 741 fr. dès le ______ octobre 2027, à 641 fr. dès le ______ octobre 2033, puis à 741 fr. dès le 1 er janvier 2036, comprenant la part du loyer de sa mère (15% de 2'650 fr., soit 397 fr.), la part du loyer de son père (15% de 2'995 fr., 449 fr. dès juillet 2022), la prime d'assurance-maladie LAMal et LCA (37 fr., subside déduit, augmentée de 100 fr. dès le mois de janvier suivant la majorité de B______ sur la base de la prime de sa mère), les frais médicaux non remboursés (7 fr.), les frais de jardin d'enfants (464 fr. jusqu'au 30 juin 2022, l'institution étant fermée en juillet et en août), les impôts (estimés à 5 fr. entre octobre 2019 et juin 2022, puis 0 fr. dès juillet 2022) et le montant de base selon les normes OP (400 fr., respectivement 600 fr. dès le ______ octobre 2027), sous déduction des allocations familiales (300 fr., augmentées à 400 fr. dès 16 ans, soit dès le ______ octobre 2033) et à l'exclusion de frais de parascolaire vu l'absence de tels frais pour son frère.</w:t>
      </w:r>
    </w:p>
    <w:p>
      <w:r>
        <w:rPr>
          <w:b/>
        </w:rPr>
        <w:t>E. 4.6.4</w:t>
      </w:r>
    </w:p>
    <w:p>
      <w:r>
        <w:t>Au vu de ce qui précède, il se justifie, s'agissant de la période allant du 9 octobre 2019 au 30 juin 2022, compte tenu de la situation financière des parents et du fait que l'entretien en nature de B______ a été assuré jusqu'à cette date exclusivement par la mère, de mettre à la charge du père l'entier des charges de l'enfant, dont le montant sera arrondi à 1'000 fr. Au vu du solde demeurant à ce dernier, il sera renoncé à la répartition de son excédent. Dès l'instauration de la garde alternée, soit dès le 1 er juillet 2022, les frais de l'enfant assumés par le père s'élèvent à 649 fr. entre juillet 2022 et le ______ octobre 2027 (449 fr. de part de loyer de l'enfant + 200 fr. à titre de la moitié du montant de base), puis à 749 fr. dès le ______ octobre 2027 (comprenant 300 fr. à titre de la moitié du montant de base) et par la mère à 341 fr. entre le 1 er juillet et le ______ octobre 2027 (397 fr. de part de loyer de l'enfant + 37 fr. de prime d'assurance-maladie + 7 fr. de frais médicaux non couverts + 200 fr. à titre de la moitié du montant de base – 300 fr. d'allocations familiales), à 441 fr. dès le ______ octobre 2027 (comprenant 300 fr. à titre de la moitié du montant de base), puis à 391 fr. dès le ______ octobre 2033 (comprenant une déduction de 400 fr. d'allocations familiales et 50 fr. correspondant à la moitié de 100 fr. de frais supplémentaires pour une enfant adolescente). Dès la majorité de l'enfant, les charges non assumées par le père se monteront à 491 fr. (comprenant une prime d'assurance-maladie d'environ 137 fr., subside déduit). Par conséquent, il se justifie que l'appelant continue à prendre à sa charge l'entier des charges assumées par la mère dès l'instauration de la garde alternée, arrondie à la dizaine supérieure, dès lors que, cela fait, les parents bénéficieront d'un solde disponible final presque identique (412 fr. pour le père (1'411 fr. – [649 fr. + 350 fr.]) et 346 fr. pour la mère). Par conséquent, le père sera condamné à verser une contribution mensuelle à l'entretien de B______ de 1'000 fr. entre le 9 octobre 2019 et le 30 juin 2022, de 350 fr. entre le 1 er juillet 2022 et le ______ octobre 2027, de 450 fr. entre le ______ octobre 2027 et le ______ octobre 2033, de 400 fr. entre le ______ octobre 2033 et le 31 décembre 2035, puis de 500 fr. dès le 1 er janvier 2036, la contribution restant due après la majorité en cas de poursuite suivie et régulière d'études ou d'une formation professionnelle (ATF 130 V 237 ; arrêt du Tribunal fédéral 5A_330/2014 du 30 octobre 2014 consid. 8.3). De cette contribution doivent être déduits les montants dont l'appelant s'est d'ores et déjà acquitté à titre d'entretien (arrêt du Tribunal fédéral 5A_454/2017 du 17 mai 2018 consid. 5.3), en particulier un montant non contesté de 4'356 fr. versé avant le 9 octobre 2019. Par conséquent, le chiffre 3 du dispositif du jugement entrepris sera annulé et l'appelant condamné dans le sens de ce qui précède.</w:t>
      </w:r>
    </w:p>
    <w:p>
      <w:r>
        <w:rPr>
          <w:b/>
        </w:rPr>
        <w:t>E. 4.6.5</w:t>
      </w:r>
    </w:p>
    <w:p>
      <w:r>
        <w:t>Vu la date de prononcé de la présente décision, le chiffre 4 du dispositif du jugement attaqué sera annulé, afin de reporter la première indexation de la contribution d'entretien du 1 er janvier 2023 au 1 er janvier 2024.</w:t>
      </w:r>
    </w:p>
    <w:p>
      <w:r>
        <w:rPr>
          <w:b/>
        </w:rPr>
        <w:t>E. 4.6.6</w:t>
      </w:r>
    </w:p>
    <w:p>
      <w:r>
        <w:t>Conformément à la conclusion de l'appelant, il sera, en outre, précisé que les allocations familiales demeurent acquises à la mère dès le 1 er juillet 2022.</w:t>
      </w:r>
    </w:p>
    <w:p>
      <w:r>
        <w:rPr>
          <w:b/>
        </w:rPr>
        <w:t>E. 5</w:t>
      </w:r>
    </w:p>
    <w:p>
      <w:r>
        <w:t>Les parties sollicitent qu'il soit statué sur les frais extraordinaires de B______, l'appelant concluant à ce qu'ils soient assumés à parts égales entre les parents et les intimées concluant à ce qu'ils soient mis à la charge de ce dernier à hauteur de 75%.</w:t>
      </w:r>
    </w:p>
    <w:p>
      <w:r>
        <w:rPr>
          <w:b/>
        </w:rPr>
        <w:t>E. 5.1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5.2</w:t>
      </w:r>
    </w:p>
    <w:p>
      <w:r>
        <w:t>En l’occurrence, les parties n’allèguent pas de frais extraordinaires spécifiques ni d’accord entre elles concernant leur prise en charge à l'avenir. Il n'y a donc pas lieu de statuer sur des dépenses hypothétiques futures. Les appels seront, dès lors, rejetés sur ce point.</w:t>
      </w:r>
    </w:p>
    <w:p>
      <w:r>
        <w:rPr>
          <w:b/>
        </w:rPr>
        <w:t>E. 6</w:t>
      </w:r>
    </w:p>
    <w:p>
      <w:r>
        <w:t>Les intimées sollicitent l'octroi d'une provision ad litem pour la procédure d'appel.</w:t>
      </w:r>
    </w:p>
    <w:p>
      <w:r>
        <w:rPr>
          <w:b/>
        </w:rPr>
        <w:t>E. 6.1</w:t>
      </w:r>
    </w:p>
    <w:p>
      <w:r>
        <w:t>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r>
        <w:rPr>
          <w:b/>
        </w:rPr>
        <w:t>E. 6.2</w:t>
      </w:r>
    </w:p>
    <w:p>
      <w:r>
        <w:t>Il convient donc, en premier lieu, de statuer sur les frais judiciaires de la procédure d'appel.</w:t>
      </w:r>
    </w:p>
    <w:p>
      <w:r>
        <w:rPr>
          <w:b/>
        </w:rPr>
        <w:t>E. 6.2.1</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6.2.2</w:t>
      </w:r>
    </w:p>
    <w:p>
      <w:r>
        <w:t>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rPr>
          <w:b/>
        </w:rPr>
        <w:t>E. 6.2.3</w:t>
      </w:r>
    </w:p>
    <w:p>
      <w:r>
        <w:t>Les frais judiciaires de la procédure d'appel sont fixés à 2'200 fr. (art. 32 et 35 RTFMC), partiellement couverts par l'avance de frais opérée par l'appelant de 1'000 fr., laquelle demeure entièrement acquise à l'Etat de Genève (art. 111 al. 1 CPC). Pour des motifs d'équité liés à la nature du litige, ils seront répartis à parts égales entre les parties, à savoir à hauteur de 1'100 fr. pour l'appelant et de 1'100 fr. pour les intimées (art. 95, 104 al. 1, 105, 106 al. 1 et 107 al. 1 let. c CPC). Dans la mesure où ces dernières plaident au bénéfice de l'assistance juridique, leurs frais judiciaires seront provisoirement supportés par l'Etat de Genève (art. 122 al. 1 let. b CPC), étant rappelé que les bénéficiaires de l'assistance juridique sont tenus au remboursement des frais judiciaires mis à la charge de l'Etat dans la mesure de l'art. 123 CPC (art. 19 RAJ). L'appelant sera, par conséquent, condamné à verser la somme de 100 fr. aux Services financiers du Pouvoir judiciaire. Pour les mêmes motifs, chaque partie supportera ses propres dépens d'appel (art. 107 al. 1 let. c CPC).</w:t>
      </w:r>
    </w:p>
    <w:p>
      <w:r>
        <w:rPr>
          <w:b/>
        </w:rPr>
        <w:t>E. 6.3</w:t>
      </w:r>
    </w:p>
    <w:p>
      <w:r>
        <w:t>Se pose ainsi la question de l'octroi d'une provisio ad litem en faveur des intimées.</w:t>
      </w:r>
    </w:p>
    <w:p>
      <w:r>
        <w:rPr>
          <w:b/>
        </w:rPr>
        <w:t>E. 6.3.1</w:t>
      </w:r>
    </w:p>
    <w:p>
      <w:r>
        <w:t>Le devoir d'entretien des parents comprend le versement d'une provision ad litem dans le cadre d'une action alimentaire intentée par l'enfant (arrêt du Tribunal fédéral 5A_85/2017 du 19 juin 2017 consid. 7.1.2). La provision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provision ad litem , à assumer les frais de l'action alimentaire. L'octroi d'une telle provision peut donc être justifié indépendamment du montant de la contribution d'entretien (arrêt du Tribunal fédéral 5A_85/2017 du 19 juin 2017 consid. 7.1.3). La fixation d'une provisio ad litem par le juge nécessite la réalisation de deux conditions, à savoir l'incapacité du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w:t>
      </w:r>
    </w:p>
    <w:p>
      <w:r>
        <w:rPr>
          <w:b/>
        </w:rPr>
        <w:t>E. 6.3.2</w:t>
      </w:r>
    </w:p>
    <w:p>
      <w:r>
        <w:t>En l'occurrence, l'appelant bénéficie d'un faible solde disponible après paiement de son obligation d'entretien. Les intimées n'allèguent par ailleurs pas qu'il disposerait d'une certaine fortune. Il sera, par conséquent, retenu que la situation financière de l'appelant ne lui permet pas de s'acquitter d'une provisio ad litem . Partant, les intimées seront déboutées de ce chef de conclusion. * * * * * PAR CES MOTIFS, La Chambre civile : A la forme : Déclare recevable l'appel interjeté le 10 janvier 2022 par A______ contre les chiffres 1 à 4 du dispositif du jugement JTPI/14936/2021 rendu le 26 novembre 2021 par le Tribunal de première instance dans la cause C/20157/2020-14. Déclare recevable l'appel joint interjeté le 21 février 2022 par C______ et B______ contre les chiffres 3 et 8 dudit dispositif. Au fond : Annule les chiffres 1 à 4 et 8 du dispositif dudit jugement et, statuant à nouveau sur ces points : Instaure une garde alternée sur B______, devant s'exercer d'entente entre les parents et, à défaut, à raison d'une semaine sur deux en alternance chez chacun des parents, le passage de l'enfant ayant lieu le lundi lors de la dépose de l'enfant à l'école, ainsi que de la moitié des vacances scolaires chez chaque parent durant au maximum deux semaines consécutives. Fixe le domicile légal de B______ chez C______. Condamne A______ à verser en mains de C______, par mois et d'avance, allocations familiales non comprises, une contribution mensuelle à l'entretien de B______ de 1'000 fr. entre le 9 octobre 2019 et le 30 juin 2022, de 350 fr. entre le 1 er juillet 2022 et le ______ octobre 2027, de 450 fr. entre le ______ octobre 2027 et le ______ octobre 2033, de 400 fr. entre le ______ octobre 2033 et le 31 décembre 2035, puis de 500 fr. dès le 1 er janvier 2036, la contribution restant due après la majorité en cas de poursuite suivie et régulière d'études ou d'une formation professionnelle. Dit que doivent être déduits de cette contribution d'entretien les montants déjà versés par A______ à ce titre, en particulier la somme globale de 4'356 fr. versée avant le 9 octobre 2019. Dit que la contribution d'entretien précitée sera indexée à l'indice genevois des prix à la consommation le 1 er janvier de chaque année, la première fois le 1 er janvier 2024, l'indice de référence étant celui en vigueur lors du prononcé du présent arrêt. Dit que les allocations familiales versées en faveur de B______ demeurent acquises à C______ dès le 1 er juillet 2022. Déboute les parties de toutes autres conclusions. Sur les frais : Arrête les frais judiciaires d'appel à 2'200 fr., les met pour moitié à la charge de A______ et pour moitié à la charge de C______ et de B______, et les compense partiellement avec l'avance fournie par A______, laquelle demeure entièrement acquise à l'Etat de Genève. Dit que les frais à la charge de C______ et de B______ sont provisoirement supportés par l'Etat de Genève, vu l'octroi de l'assistance judiciaire. Condamne A______ à verser la somme de 100 fr. aux Services financiers du Pouvoir judiciaire. Dit que chaque partie supporte ses propres dépens d'appel. Siégeant : Madame Ursula ZEHETBAUER GHAVAMI, présidente; Madame Sylvie DROIN, Monsieur Ivo BUETTI,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