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C/19707/2011 vom 10. Oktober 2014</w:t>
      </w:r>
    </w:p>
    <w:p>
      <w:r>
        <w:t>GE Cour de justice, 2014-10-10, FR</w:t>
      </w:r>
    </w:p>
    <w:p>
      <w:r>
        <w:rPr>
          <w:b/>
        </w:rPr>
        <w:t xml:space="preserve">Quelle: </w:t>
      </w:r>
      <w:r>
        <w:t>https://mcp.opencaselaw.ch/entscheid/ge_gerichte_C_19707_2011</w:t>
      </w:r>
    </w:p>
    <w:p>
      <w:r>
        <w:t>FR: GE_GERICHTE C/19707/2011 du 10 octobre 2014</w:t>
      </w:r>
    </w:p>
    <w:p>
      <w:r>
        <w:t>IT: GE_GERICHTE C/19707/2011 del 10 ottobre 2014</w:t>
      </w:r>
    </w:p>
    <w:p>
      <w:pPr>
        <w:pStyle w:val="Heading2"/>
      </w:pPr>
      <w:r>
        <w:t>Regeste</w:t>
      </w:r>
    </w:p>
    <w:p>
      <w:r>
        <w:t>MAINLEVÉE DÉFINITIVE; TITRE DE MAINLEVÉE; IMPÔT | LP.80; LP.81</w:t>
      </w:r>
    </w:p>
    <w:p>
      <w:pPr>
        <w:pStyle w:val="Heading2"/>
      </w:pPr>
      <w:r>
        <w:t>Erwägungen</w:t>
      </w:r>
    </w:p>
    <w:p>
      <w:r>
        <w:rPr>
          <w:b/>
        </w:rPr>
        <w:t>E. 1</w:t>
      </w:r>
    </w:p>
    <w:p>
      <w:r>
        <w:t>La Cour a déjà tranché la question de la recevabilité du recours dans son arrêt du 8 février 2013, de sorte qu'il n'y a pas lieu d'y revenir. Il en va de même s'agissant de l'irrecevabilité des pièces nouvelles. ![endif]&gt;![if&gt;</w:t>
      </w:r>
    </w:p>
    <w:p>
      <w:r>
        <w:rPr>
          <w:b/>
        </w:rPr>
        <w:t>E. 2</w:t>
      </w:r>
    </w:p>
    <w:p>
      <w:r>
        <w:t>Dans le cadre d'un recours, le pouvoir d'examen de la Cour est limité à la violation du droit et à la constatation manifestement inexacte des faits (art. 320 CPC). ![endif]&gt;![if&gt; Par ailleurs, la maxime des débats s'applique et la preuve des faits allégués doit être apportée par titre (art. 55 al. 1, 255 let. a a contrario et 254 CPC). En outre, la maxime de disposition s'applique (art. 58 al. 1 CPC).</w:t>
      </w:r>
    </w:p>
    <w:p>
      <w:r>
        <w:rPr>
          <w:b/>
        </w:rPr>
        <w:t>E. 3.1</w:t>
      </w:r>
    </w:p>
    <w:p>
      <w:r>
        <w:t>Aux termes de l'art. 80 al. 1 LP, le créancier qui est au bénéfice d'un jugement exécutoire peut requérir du juge la mainlevée définitive de l'opposition. ![endif]&gt;![if&gt;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131 III 87 consid. 3.2). Le juge doit examiner d'office non seulement l'existence d'un titre à la mainlevée définitive et son caractère exécutoire mais aussi les trois identités, en particulier que la prétention déduite en poursuite et la créance retenue dans le titre sont les mêmes (ATF 139 III 444 , consid. 4.1.1; Gillieron, Commentaire de la loi fédérale sur la poursuite pour dettes et la faillite, 1999, n. 22 ad art. 80 LP).</w:t>
      </w:r>
    </w:p>
    <w:p>
      <w:r>
        <w:rPr>
          <w:b/>
        </w:rPr>
        <w:t>E. 3.2</w:t>
      </w:r>
    </w:p>
    <w:p>
      <w:r>
        <w:t>Sont assimilés à des jugements les décisions des autorités administratives suisses (art. 80 al. 2 ch. 2 LP). Aux termes de l'art. 165 al. 3 LIFD, les décisions et prononcés de taxation rendus par les autorités chargées de l'application de cette loi, qui sont entrés en force, produisent les mêmes effets qu'un jugement exécutoire. La décision qui ne peut plus être attaquée par voie de réclamation ou de recours est exécutoire (art. 135 et 140 LIFD).</w:t>
      </w:r>
    </w:p>
    <w:p>
      <w:r>
        <w:rPr>
          <w:b/>
        </w:rPr>
        <w:t>E. 3.3</w:t>
      </w:r>
    </w:p>
    <w:p>
      <w:r>
        <w:t>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et les références citées).</w:t>
      </w:r>
    </w:p>
    <w:p>
      <w:r>
        <w:rPr>
          <w:b/>
        </w:rPr>
        <w:t>E. 3.4</w:t>
      </w:r>
    </w:p>
    <w:p>
      <w:r>
        <w:t>En l'espèce, les bordereaux relatifs aux IFD 2002 à 2005, notifiés à la recourante et munis des attestations de leur caractère exécutoire, représentent des titres de mainlevée définitive au sens de l'art. 80 LP, ce qui n'est au demeurant pas remis en cause. Les décisions de scission du 8 juillet 2010 qui découlent des bordereaux précités ont également été produites, ce qui a permis d'établir les montants restants dus par la recourante pour les exercices fiscaux 2002 à 2005.</w:t>
      </w:r>
    </w:p>
    <w:p>
      <w:r>
        <w:rPr>
          <w:b/>
        </w:rPr>
        <w:t>E. 3.5</w:t>
      </w:r>
    </w:p>
    <w:p>
      <w:r>
        <w:t>La Chambre administrative de la Cour de justice a considéré que c'était à bon droit que l'AFC avait crédité les sommes versées par l'appelante en 2007 sur les comptes communs ICC 2002 et IFD 2006 des époux. Par conséquent, contrairement à ce que soutient la recourante, ces sommes ne viennent pas en déduction des créances litigieuses relatives aux IFD 2002 à 2005. Le moyen libératoire invoqué par l'appelante étant ainsi mal fondé, la mainlevée définitive des oppositions formées aux commandements de payer a été prononcée à raison par le premier juge. Le recours sera en conséquence rejeté.</w:t>
      </w:r>
    </w:p>
    <w:p>
      <w:r>
        <w:rPr>
          <w:b/>
        </w:rPr>
        <w:t>E. 4</w:t>
      </w:r>
    </w:p>
    <w:p>
      <w:r>
        <w:t>La recourante, qui succombe, sera condamnée aux frais (art. 106 al. 1 et 3 CPC).![endif]&gt;![if&gt;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de la présente décision, comprenant l'émolument relatif à la décision de la Cour de justice du 8 février 2013 statuant sur incident, seront fixés à 1'125 fr., mis à la charge de la recourante qui succombe et compensés avec l'avance de frais du même montant fournie par la recourante, acquise à l'Etat (art. 111 al. 1 CPC). Il ne sera pas alloué de dépens à l'intimée qui comparaît en personne, les démarches effectuées ne le justifiant pas (art. 95 al. 3 let. c CPC a contrario).</w:t>
      </w:r>
    </w:p>
    <w:p>
      <w:r>
        <w:rPr>
          <w:b/>
        </w:rPr>
        <w:t>E. 5</w:t>
      </w:r>
    </w:p>
    <w:p>
      <w:r>
        <w:t>La valeur litigieuse, au sens de l'art. 51 LTF, est supérieure à 30'000 fr.![endif]&gt;![if&gt; * * * * * PAR CES MOTIFS, La Chambre civile : Au fond : Rejette le recours formé le 24 septembre 2012 par A______ contre le jugement JTPI/12358/2012 rendu le 5 septembre 2012 par le Tribunal de première instance dans la cause C/19707/2011-9 SML. Déboute les parties de toutes autres conclusions. Sur les frais : Arrête les frais judiciaires à 1'125 fr. et les met à la charge de A______. Dit qu'ils sont compensés par l'avance de frais fournie par A______, acquise à l'Etat de Genève.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