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C/19616/2019 vom 31. Oktober 2023</w:t>
      </w:r>
    </w:p>
    <w:p>
      <w:r>
        <w:t>GE Cour de justice, 2023-10-31, FR</w:t>
      </w:r>
    </w:p>
    <w:p>
      <w:r>
        <w:rPr>
          <w:b/>
        </w:rPr>
        <w:t xml:space="preserve">Quelle: </w:t>
      </w:r>
      <w:r>
        <w:t>https://mcp.opencaselaw.ch/entscheid/ge_gerichte_C_19616_2019</w:t>
      </w:r>
    </w:p>
    <w:p>
      <w:r>
        <w:t>FR: GE_GERICHTE C/19616/2019 du 31 octobre 2023</w:t>
      </w:r>
    </w:p>
    <w:p>
      <w:r>
        <w:t>IT: GE_GERICHTE C/19616/2019 del 31 ottobre 2023</w:t>
      </w:r>
    </w:p>
    <w:p>
      <w:pPr>
        <w:pStyle w:val="Heading2"/>
      </w:pPr>
      <w:r>
        <w:t>Regeste</w:t>
      </w:r>
    </w:p>
    <w:p>
      <w:r>
        <w:t>CC.650; CC.651; CC.276; CC.285; CC.125; LDIP.51.letb; LDIP.63</w:t>
      </w:r>
    </w:p>
    <w:p>
      <w:pPr>
        <w:pStyle w:val="Heading2"/>
      </w:pPr>
      <w:r>
        <w:t>Erwägungen</w:t>
      </w:r>
    </w:p>
    <w:p>
      <w:r>
        <w:rPr>
          <w:b/>
        </w:rPr>
        <w:t>E. 5</w:t>
      </w:r>
    </w:p>
    <w:p>
      <w:r>
        <w:t>L'appelant conteste être tenu de contribuer à l'entretien de l'intimée après le divorce. Il reproche au premier juge d'avoir retenu que les parties avaient vécu en concubinage avant le mariage, de sorte que ce dernier avait durablement affecté la situation de l'intimée.![endif]&gt;![if&gt;</w:t>
      </w:r>
    </w:p>
    <w:p>
      <w:r>
        <w:rPr>
          <w:b/>
        </w:rPr>
        <w:t>E. 5.1</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147 III 249 consid. 3.4.2 et les références; 138 III 289 consid. 11.1.2). La détermination de la contribution d'entretien est laissée, pour une part importante, à l'appréciation du juge du fait, qui applique les règles du droit et de l'équité (art. 4 CC; ATF 148 III 161 consid. 4.1; 134 III 577 consid. 4).</w:t>
      </w:r>
    </w:p>
    <w:p>
      <w:r>
        <w:rPr>
          <w:b/>
        </w:rPr>
        <w:t>E. 5.1.1</w:t>
      </w:r>
    </w:p>
    <w:p>
      <w:r>
        <w:t>Lorsque l'union conjugale a durablement marqué de son empreinte la situation de l'époux bénéficiaire (" lebensprägende Ehe "), le principe est que le standard de vie choisi d'un commun accord durant la vie commune doit être maintenu pour les deux parties dans la mesure où leur situation financière le permet (art. 125 al. 2 ch. 3 CC;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et les références). Lorsqu'en revanche le mariage n'a pas eu d'influence sur les conditions d'existence, il faut se référer à la situation antérieure au mariage et replacer de ce fait l'époux créancier dans la situation où il serait si le mariage n'avait pas été conclu (ATF 148 III 161 consid. 5.1; 147 III 249 consid. 3.4.1). Dans sa jurisprudence récente, le Tribunal fédéral est revenu sur la notion de mariage ayant un impact décisif sur la vie, précisant en particulier que ce ne sont pas des présomptions de durée abstraites, mais les circonstances du cas particulier, qui sont à cet égard déterminantes (ATF 148 III 161 consid. 4.2; 147 III 249 consid. 3.4).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4.2; 147 III 249 consid. 3.4.3, 308 consid. 5.6). La naissance d'un enfant ne permet généralement plus à elle seule d'apprécier si le mariage a eu un impact notable sur la vie des époux, fondant un droit à l'entretien du conjoint. Les désavantages subis par l'un des parents en raison de la prise en charge (après le mariage) d'un enfant sont en effet compensés en premier lieu par la contribution de prise en charge (art. 276 et 285 CC); seuls sont pertinents les inconvénients résultant de la garde de l'enfant qui ne sont pas couverts par l'entretien de celui-ci destiné économiquement au parent qui en assume la garde (ATF 148 III 161 consid. 4.3.1).</w:t>
      </w:r>
    </w:p>
    <w:p>
      <w:r>
        <w:rPr>
          <w:b/>
        </w:rPr>
        <w:t>E. 5.1.2</w:t>
      </w:r>
    </w:p>
    <w:p>
      <w:r>
        <w:t>Un concubinage antérieur au mariage, même stable, ne peut être pris en considération dans la fixation de la contribution après divorce que dans des cas exceptionnels étroitement limités et qualifiés. Il faut impérativement que le concubinage ait influencé durablement la vie des partenaires, au point que la conclusion du mariage soit la confirmation de la responsabilité assumée et de la confiance existante. Tel peut être le cas lorsque l'un des partenaires a renoncé à se réaliser personnellement hors du ménage pour se mettre au service de l'autre et favoriser, voire permettre de façon décisive sa réussite sur le plan matériel, ou encore pour s'occuper d'enfants communs issus du concubinage, respectivement d'enfants de son partenaire (ATF 135 III 59 consid. 4.4; arrêt du Tribunal fédéral 5A_826/2020 du 30 mars 2022 consid. 5.2). Le Tribunal fédéral a posé la présomption – réfragable – qu'un concubinage est qualifié lorsqu'il a duré au moins cinq ans (ATF 138 III 97 consid. 3.4.2; arrêt du Tribunal fédéral 5A_93/2019 du 13 septembre 2021 consid. 5.1). Cette présomption de cinq ans, tout comme les présomptions fondées sur la durée du mariage, ne constitue toutefois qu'une ligne directrice. Il n'est en outre pas question d'ajouter les années de cohabitation à la durée du mariage ou de les considérer comme des années de mariage, mais de déterminer si la confiance placée dans un mariage subséquent est, de ce fait, objectivement digne de protection (cf. ATF 135 III 59 consid. 4.4; arrêt du Tribunal fédéral 5A_93/2019 précité consid. 5.2). La durée du mariage se calcule en principe jusqu'à la date de séparation des parties (ATF 132 III 598 consid. 9.2; arrêt du Tribunal fédéral 5A_93/2019 précité consid. 3.1).</w:t>
      </w:r>
    </w:p>
    <w:p>
      <w:r>
        <w:rPr>
          <w:b/>
        </w:rPr>
        <w:t>E. 5.2</w:t>
      </w:r>
    </w:p>
    <w:p>
      <w:r>
        <w:t>En l'espèce, la vie commune des parties durant le mariage a été de courte durée, puisque celui-ci a été célébré le ______ 2016 et que les parties se sont séparées moins de deux ans plus tard, lorsqu'elles ont renoncé à occuper conjointement la villa de D______. Avant le mariage, les parties ont cependant entretenu une relation étroite pendant plus de cinq ans, soit depuis une date indéterminée, mais en tout cas antérieure à la naissance de leur fille en ______ 2011. S'il demeure contesté qu'elles aient alors été officiellement domiciliées à la même adresse, une amie de l'intimée a témoigné devant le Tribunal de ce que les parties faisaient à cette époque ménage commun. L'existence d'un concubinage antérieur au mariage ne saurait donc être écartée dans ces conditions, contrairement à ce que soutient l'appelant. Il est par ailleurs établi qu'en 2014, lorsque l'enfant C______ était âgée de trois ans environ, l'intimée a mis un terme à l'activité lucrative qu'elle exerçait précédemment pour se consacrer à l'éducation et à l'encadrement de sa fille, dont l'état de santé nécessitait des soins particuliers. L'amie de l'intimée entendue comme témoin a confirmé que celle-ci lui avait expliqué de la sorte la cessation de son activité lucrative à l'époque et il n'y a pas de raison de douter que l'intimée lui ait effectivement tenu de tels propos. Dans le même temps, l'appelant a quant à lui poursuivi et développé sa carrière de médecin spécialiste, subvenant aux besoins de la famille grâce à ses revenus croissants. Il faut dans ces conditions admettre que la confiance placée par l'intimée dans un mariage subséquent – qui a en l'occurrence effectivement été célébré en 2016 – et dans la poursuite de la répartition des tâches ainsi mise en place, est digne de protection. On relèvera que l'intimée n'a d'ailleurs entamé une formation, puis repris une modeste activité, qu'après la séparation des époux. L'existence d'un concubinage qualifié doit par conséquent être admise en l'espèce, comme l'a retenu à bon droit le premier juge. Précédé de ce concubinage, le mariage des parties a durablement marqué de son empreinte la situation de l'intimée, au sens des principes rappelés ci-dessus. Le fait que l'intimée se soit consacrée durant plusieurs années à la prise en charge de C______, alors qu'elle-même était âgée de moins de cinquante ans, et qu'elle ait favorisé par-là le développement de la carrière de l'appelant, au détriment de celui de sa propre activité indépendante, entraine en effet aujourd'hui pour elle des inconvénients qui vont au-delà de ce qui peut être compensé par une simple contribution à la prise en charge de sa fille. Sur le principe, l'intimée peut donc prétendre à une contribution post-divorce à son entretien, ainsi que l'a retenu le premier juge, et l'appelant sera débouté de ses conclusions tendant à ce qu'il soit renoncé à fixer une telle contribution. Il reste à en examiner le montant.</w:t>
      </w:r>
    </w:p>
    <w:p>
      <w:r>
        <w:rPr>
          <w:b/>
        </w:rPr>
        <w:t>E. 6</w:t>
      </w:r>
    </w:p>
    <w:p>
      <w:r>
        <w:t>A majore minus , l'appelant sollicite la réduction du montant de la contribution d'entretien allouée à l'intimée, arrêtée par le premier juge à 3'940 fr. par mois. Sur appel joint, celle-ci conclut pour sa part à l'octroi d'un montant de 7'050 fr. par mois à ce titre. ![endif]&gt;![if&gt;</w:t>
      </w:r>
    </w:p>
    <w:p>
      <w:r>
        <w:rPr>
          <w:b/>
        </w:rPr>
        <w:t>E. 6.1</w:t>
      </w:r>
    </w:p>
    <w:p>
      <w:r>
        <w:t>Lorsqu'un mariage a concrètement et durablement influencé la situation financière du conjoint qui prétend à l'octroi d'une contribution d'entretien, il convient tout d'abord de déterminer l'entretien convenable après avoir constaté le niveau de vie des époux pendant le mariage. Dans une deuxième étape, il sied d'examiner dans quelle mesure chacun des époux peut financer lui-même l'entretien arrêté à l'étape précédente du raisonnement, et, troisièmement, s'il n'est pas possible ou que l'on ne peut raisonnablement attendre d'un époux qu'il pourvoie lui-même à son entretien convenable et que son conjoint lui doit donc une contribution équitable, il faut évaluer la capacité contributive de celui-ci et arrêter une contribution équitable, fondée sur le principe de la solidarité (ATF 147 III 293 consid. 4; 141 III 465 consid. 3.1; 137 III 102 consid. 4.2; arrêt du Tribunal fédéral 5A_907/2019 du 27 août 2021 consid. 3.1.1). Le droit à l'entretien pour un époux connaît une limite supérieure, soit le montant nécessaire au maintien du train de vie mené jusqu'à la cessation de la vie commune (ATF 147 III 293 consid. 4.4; 141 III 465 consid. 3.1). Pour fixer la durée de la contribution d'entretien, le juge doit, comme précédemment mentionné, tenir compte de l'ensemble des critères énumérés de façon non exhaustive à l'art. 125 al. 2 CC (ATF 137 III 102 consid. 4.1.1; 132 III 598 consid. 9.1; arrêts du Tribunal fédéral 5A_734/2020 du 13 juillet 2021 consid. 4.1; 5A_679/2019 du 5 juillet 2021 consid. 17.4.1), notamment des revenus et de la fortune des époux (ch. 5), ainsi que des expectatives de l'assurance-vieillesse et de la prévoyance professionnelle ou d'autres formes de prévoyance (ch. 8). En pratique, l'obligation est souvent fixée jusqu'au jour où le débiteur de l'entretien atteint l'âge de la retraite (ATF 141 III 465 consid. 3.2.1; arrêt du Tribunal fédéral 5A_826/2020 du 30 mars 2022 consid. 11.3).</w:t>
      </w:r>
    </w:p>
    <w:p>
      <w:r>
        <w:rPr>
          <w:b/>
        </w:rPr>
        <w:t>E. 6.2</w:t>
      </w:r>
    </w:p>
    <w:p>
      <w:r>
        <w:t>En l'espèce, on a vu ci-dessus que l'intimée pouvait être tenue d'augmenter son taux d'activité jusqu'à réaliser un revenu de 4'760 fr. par mois, puis de 5'950 fr. par mois, ce qui lui permettait de couvrir – également grâce à contribution de prise en charge de 485 fr. par mois – son minimum vital de droit de la famille, arrêté à 5'245 fr. par mois. Il n'y a pas lieu de revenir sur ces considérations. L'entretien convenable de l'intimée ne saurait cependant être arrêté au seul montant susvisé du minimum vital de droit de la famille, le niveau de vie de la famille durant le mariage étant manifestement supérieur audit minimum vital, grâce à l'excédent substantiel dont dispose l'appelant. Réparti en stricte application du principe "grandes têtes, petites têtes", cet excédent, estimé ci-dessus à 17'000 fr. par mois, représenterait d'ailleurs une part de 6'800 fr. par mois en faveur de l'intimée (17'000 fr. x 2/5). L'intimée n'établit cependant pas que son niveau de vie durant la vie commune supposait la libre disposition d'une telle somme, en sus de la couverture de son minimum vital de droit de la famille. Le total des dépenses supplémentaires qu'elle allègue aujourd'hui engager ne s'élève qu'à 3'755 fr. par mois (cf. en fait, attendu C. let. h.e), dont des frais de télécommunications manifestement exagérés (1'750 fr., en sus de 150 fr. compris dans son minimum vital élargi). Le surplus de 3'755 fr. par mois allégué devrait donc être réduit. Il convient cependant de tenir compte des perspectives de prévoyance de l'intimée, qui paraissent moins bonnes que celles de l'appelant. A teneur de la procédure, l'intimée ne s'est notamment pas constitué de prévoyance professionnelle lorsqu'elle travaillait à son compte, ni par la suite, lorsqu'elle se consacrait essentiellement à la prise en charge de sa fille et à la tenue du ménage. Compte tenu du caractère relativement bref du mariage, par rapport à l'ensemble de la vie commune, le partage des avoirs prévoyance accumulés par l'appelant n'entraine qu'un versement de 37'500 fr. environ en faveur de l'intimée. Seul le partage du produit de la vente de l'immeuble de D______ devrait permettre à celle-ci – comme à l'appelant – de disposer d'une forme d'épargne, dont l'étendue n'est toutefois pas connue. Dans ces conditions, la Cour considère qu'il convient effectivement de fixer la contribution due à l'entretien post-divorce de l'intimée à 3'700 fr. par mois, et ce jusqu'à ce que sa fille atteigne l'âge de 16 ans, soit jusqu'à fin ______ 2027. A compter de cette date, et jusqu'à ce que l'appelant atteigne l'âge de la retraite, le montant de cette contribution sera ramené à 3'000 fr. par mois, compte tenu du fait que l'appelante possèdera elle-même, dès la fin mars 2027, un disponible de 700 fr. par mois, susceptible d'être affecté à son entretien (cf. consid. 4.2.2 in fine ci-dessus). Par identité de motifs avec la contribution due à l'entretien de l'enfant, le dies a quo de l'obligation susvisée sera fixé au 1 er novembre 2023 (cf. consid. 4.2.5 ci-dessus), les contributions fixées sur mesures protectrices de l'union conjugale demeurant dues jusqu'à cette date.</w:t>
      </w:r>
    </w:p>
    <w:p>
      <w:r>
        <w:rPr>
          <w:b/>
        </w:rPr>
        <w:t>E. 7.1</w:t>
      </w:r>
    </w:p>
    <w:p>
      <w:r>
        <w:t>La réformation partielle du jugement entrepris n'impose pas de revoir la décision du Tribunal sur les frais, qui n'est pas contestée (art. 318 al. 3 CPC a contrario ).![endif]&gt;![if&gt;</w:t>
      </w:r>
    </w:p>
    <w:p>
      <w:r>
        <w:rPr>
          <w:b/>
        </w:rPr>
        <w:t>E. 7.2</w:t>
      </w:r>
    </w:p>
    <w:p>
      <w:r>
        <w:t>Les frais judiciaires de l'appel seront arrêtés à 5'000 fr. au total (art. 96 CPC, art. 30 et 35 RTFMC), mis pour 3'750 fr. à la charge de l'appelant et pour 1'250 fr. à la charge de l'intimée (art. 107 al. 1 let. c CPC), et compensés avec les avances de frais de mêmes montants fournies par les parties, qui demeurent acquises à l'Etat de Genève (art. 111 al. 1 CPC). Vu la nature et l'issue du litige, chaque partie supportera ses propres dépens d'appel (art. 106 al. 2 et 107 al. 1 let. c CPC). * * * * * PAR CES MOTIFS, La Chambre civile : A la forme : Déclare recevable l'appel interjeté le 16 septembre 2022 par A______ contre le jugement JTPI/9503/2022 rendu le 17 août 2022 par le Tribunal de première instance dans la cause C/19616/2019. Déclare recevable l'appel joint formé par B______ contre ce même jugement. Au fond : Annule les chiffres 7 et 8 du dispositif du jugement entrepris et, statuant à nouveau sur ces points : Condamne A______ à payer à B______, à titre de contribution à l'entretien de leur fille C______, allocations familiales ou d'études non comprises, à compter du 1 er novembre 2023, par mois et d'avance, les sommes de 4'150 fr. jusqu'à l'âge de 16 ans, puis de 3'665 fr. jusqu'à sa majorité, voire au-delà en cas d'études sérieuses et régulières ou de formation professionnelle suivie. Condamne A______ à payer à B______, à titre de contribution post-divorce à son entretien, par mois et d'avance, à compter du 1 er novembre 2023, les sommes de 3'700 fr. jusqu'au 31 mars 2027, puis de 3'000 fr. jusqu'au jour où il atteindra l'âge légal de la retraite. Confirme le jugement entrepris pour le surplus. Déboute les parties de toutes autres conclusions. Sur les frais : Arrête les frais judiciaires d'appel et d'appel joint à 5'000 fr., les met à la charge de A______ à hauteur de 3'750 fr. et à la charge de B______ à hauteur de 1'250 fr. et les compense avec les avances de frais de mêmes montants fournies par les parties, qui demeurent acquises à l'Etat de Genève. Dit que chaque partie supporte ses propres dépens d'appel. Siégeant : Madame Ursula ZEHETBAUER GHAVAMI, présidente; Madame Nathalie RAPP, Monsieur Jean REYMOND, juges; Madame Gladys REICHENBACH, greffière. La présidente : Ursula ZEHETBAUER GHAVAMI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