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C/19467/2021 vom 25. April 2022</w:t>
      </w:r>
    </w:p>
    <w:p>
      <w:r>
        <w:t>GE Cour de justice, 2022-04-25, FR</w:t>
      </w:r>
    </w:p>
    <w:p>
      <w:r>
        <w:rPr>
          <w:b/>
        </w:rPr>
        <w:t xml:space="preserve">Quelle: </w:t>
      </w:r>
      <w:r>
        <w:t>https://mcp.opencaselaw.ch/entscheid/ge_gerichte_C_19467_2021</w:t>
      </w:r>
    </w:p>
    <w:p>
      <w:r>
        <w:t>FR: GE_GERICHTE C/19467/2021 du 25 avril 2022</w:t>
      </w:r>
    </w:p>
    <w:p>
      <w:r>
        <w:t>IT: GE_GERICHTE C/19467/2021 del 25 aprile 2022</w:t>
      </w:r>
    </w:p>
    <w:p>
      <w:pPr>
        <w:pStyle w:val="Heading2"/>
      </w:pPr>
      <w:r>
        <w:t>Erwägungen</w:t>
      </w:r>
    </w:p>
    <w:p>
      <w:r>
        <w:rPr>
          <w:b/>
        </w:rPr>
        <w:t>E. 1</w:t>
      </w:r>
    </w:p>
    <w:p>
      <w:r>
        <w:t>1.1.1 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ACJC/268/2017 du 10 mars 2017 consid.1.1). En l'occurrence, le litige porte sur l'administration d'une preuve à futur et l'appelant indique disposer de prétentions au fond s'élevant à plus de 100'000 fr. Il s'ensuit que la voie de l'appel est ouverte contre l'ordonnance entreprise. Interjeté dans les formes et dans le délai prévus par la loi (art. 130, 131, 248 let. d, et 314 al. 1 CPC), par une partie qui y a intérêt (art. 59 al. 2 let. a CPC), l'appel est recevable.</w:t>
      </w:r>
    </w:p>
    <w:p>
      <w:r>
        <w:rPr>
          <w:b/>
        </w:rPr>
        <w:t>E. 1.2</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L'appelant fait grief au premier juge d'avoir violé l'art. 158 al. 1 let. b CPC tant sous l'angle de la condition de la vraisemblance de la mise en danger des preuves que sous celle de l'intérêt digne de protection.</w:t>
      </w:r>
    </w:p>
    <w:p>
      <w:r>
        <w:rPr>
          <w:b/>
        </w:rPr>
        <w:t>E. 2.1</w:t>
      </w:r>
    </w:p>
    <w:p>
      <w:r>
        <w:t>L'art. 158 al. 1 let. b 2ème hypothèse CPC prévoit que le tribunal administre les preuves en tout temps lorsqu'un intérêt digne de protection est rendu vraisemblable (let. b). Les preuves sont administrées en principe à un stade précis du procès, qui suit celui de l'échange des allégations. Il est toutefois possible d'y procéder antérieurement, voire avant la litispendance, lorsque certaines conditions sont réalisées (constatation immédiate de défauts par exemple). Le droit matériel octroie parfois le droit à une telle administration de preuve (art. 158 al. 1, let. a CPC; voir par exemple art. 204, al. 2 et 3 CO, art. 367 al. 2 CO, art. 427al. 1 CO, art. 59 LPM). La preuve à futur assure généralement la conservation de la preuve (art. 158 al. 1 let. b CPC; par exemple l'audition d'un témoin dont les jours sont comptés ou l'inspection d'une construction présentant un risque d'effondrement). Mais elle peut servir aussi à l'évaluation des chances d'obtenir gain de cause ou d'apporter une preuve. La locution "intérêt digne de protection" se réfère à cette possibilité qui permet d'éviter des procès dénués de chance de succès (Message du Conseil fédéral relatif au Code de procédure civile du 28 juin 2006, FF 2006 p. 6925). La preuve à futur "hors procès" est destinée à permettre au requérant de clarifier les chances de succès d'un procès futur, de façon à lui éviter de devoir introduire un procès dénué de toute chance.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telle une expertise (ATF 142 III 40 consid. 3.1.1; 140 III 16 consid. 2.2.2; 138 III 76 consid. 2.4.2; arrêts du Tribunal fédéral 4A_143/2014 du 23 juin 2014 consid. 3.1; 4A_342/2014 du 17 octobre 2014 consid. 3). Il ne faut toutefois pas poser des exigences trop élevées pour la preuve de l'intérêt digne de protection (ATF 140 III 16 consid. 2.2.2; 138 III 76 consid. 2.4.2; arrêt du Tribunal fédéral 4A_132/2020 du 8 septembre 2020 consid. 3.1). Le requérant qui se prévaut de l'art. 158 al. 1 let. b CPC doit rendre vraisemblable d'une part qu'il existe un état de fait lui conférant selon le droit matériel une prétention contre sa partie adverse, et d'autre part que le moyen de preuve à administrer peut servir à l'établir. Ce n'est que pour les faits qui doivent être prouvés par le biais de la preuve à futur qu'on ne peut pas exiger la vraisemblance au sens strict; à défaut, le but de l'article 158 al. 1 let. b CPC, consistant à permettre l'évaluation avant procès des chances d'apporter une preuve déterminée, serait rendu vain (ATF 138 III 76 consid. 2.4.2). Il incombe à la partie requérante de rendre vraisemblables les faits qu'elle allègue, ainsi que le bien-fondé, sous l'angle d'un examen sommaire, de la prétention qu'elle invoque (ATF 131 III 473 consid. 2.3). Le simple fait d'alléguer que la législation prévoit que les documents comptables doivent être conservés pendant une période de dix ans ne peut pas suffire à rendre vraisemblable une urgence suffisante pour admettre le prononcé de mesures provisionnelles tendant à la conservation de ces documents au sens de l'art. 158 al. 1 let. b CPC. En effet, la destruction desdits documents après dix ans n'est qu'une possibilité et non une obligation légale (arrêt de la Cour de justice ACJC/986/2016 du 13 juillet 2016, consid. 3.2.1).</w:t>
      </w:r>
    </w:p>
    <w:p>
      <w:r>
        <w:rPr>
          <w:b/>
        </w:rPr>
        <w:t>E. 2.2</w:t>
      </w:r>
    </w:p>
    <w:p>
      <w:r>
        <w:t>En l'espèce, le premier juge a retenu qu'en tout état, aucune obligation légale de conservation des documents n'était à la charge de l'intimée s'agissant du compte clôturé en 2011, et que l'obligation légale de conservation des documents persistait durant encore plusieurs mois s'agissant du compte clôturé au plus tôt en 2013, de sorte qu'il n'y avait pas de mise en danger concrète des preuves. L'appelant taxe ce raisonnement de contradictoire et infondé, en procédant à des affirmations générales qui ne permettent pas de le suivre. Il apparaît au contraire que le Tribunal a correctement fait application des principes jurisprudentiels relatifs à la mise en danger des preuves rappelés ci-dessus, de sorte que la Cour peut faire sienne cette motivation. Une mise en danger imminente des preuves n'est ainsi pas rendue suffisamment vraisemblable au sens de l'art. 158 CPC. En ce qui concerne la condition alternative de l'intérêt digne de protection, le Tribunal a retenu que le requérant n'avait pas rendu suffisamment vraisemblable le bien-fondé d'une prétention matérielle concrète à l'égard de l'intimée, et qu'il était en mesure d'intenter une action en responsabilité pour acte illicite sur la base des éléments dont il disposait déjà. L'appelant fait valoir qu'il entend établir et étayer le dommage éprouvé d'une part et d'autre part clarifier les chances de succès d'un procès, fondé sur l'art. 41 CO; il se défend de chercher à obtenir par le biais de la présente requête des preuves de manière indéterminée ( fishing expedition ). Cela étant, il ne s'attache toujours pas à rendre vraisemblable, par l'examen certes sommaire, du bien-fondé de la prétention invoquée, en particulier des conditions permettant l'application de l'art. 41 CO (acte illicite, faute, rapport de causalité naturelle et adéquate avec le préjudice), se limitant à répéter des éléments de fait et des moyens déjà articulés dans les procédures de plainte LP, administrative et pénale, à compter de mars 2016. A cet égard, l'intimée relève non sans pertinence le délai de prescription relative d'un an (en vigueur jusqu'au 1 er janvier 2020) prévu par l'art. 60 CO. En tout état, les décisions rendues par le Tribunal fédéral et par le Ministère public ne laissent pas entrevoir, sous l'angle de la vraisemblance, un quelconque élément évoquant un acte illicite, l'inverse paraissant plutôt en résulter. La vraisemblance d'une prétention matérielle concrète n'est ainsi pas suffisante, comme l'a retenu à raison le premier juge. La décision attaquée sera dès lors confirmée.</w:t>
      </w:r>
    </w:p>
    <w:p>
      <w:r>
        <w:rPr>
          <w:b/>
        </w:rPr>
        <w:t>E. 3</w:t>
      </w:r>
    </w:p>
    <w:p>
      <w:r>
        <w:t>L'appelant, qui succombe, supportera les frais judiciaires de son appel (art. 106 al. 1 CPC). Ceux-ci seront arrêtés à 800 fr. (art. 26, 38 et 40 RTFMC), et compensés avec l'avance opérée, acquise à l'Etat de Genève. L'appelant versera en outre à l'intimée des dépens d'appel, arrêtés à 1'500 fr. (art. 85, 88, 90 RTFMC). * * * * * PAR CES MOTIFS, La Chambre civile : A la forme : Déclare recevable l'appel interjeté le 5 mai 2022 par A______ contre le jugement JTPI/4786/2022 rendu le 25 avril 2022 par le Tribunal de première instance dans la cause C/19467/2021–15 SML. Au fond : Confirme ce jugement. Déboute les parties de toutes autres conclusions. Sur les frais : Arrête les frais judiciaires d'appel à 800 fr., les met à la charge de A______ et dit qu'ils sont compensés avec l'avance fournie, qui reste acquise à l'Etat de Genève. Condamne A______ à verser 1'500 fr. à B______ SA à titre de dépens d'appel. Siégeant : Madame Sylvie DROIN, présidente; Madame Fabienne GEISINGER-MARIETHOZ, Monsieur Ivo BUETTI, juges; Madame Laura SESSA, greffière. La présidente : Sylvie DROIN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