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C/19464/2018 vom 13. November 2023</w:t>
      </w:r>
    </w:p>
    <w:p>
      <w:r>
        <w:t>GE Cour de justice, 2023-11-13, FR</w:t>
      </w:r>
    </w:p>
    <w:p>
      <w:r>
        <w:rPr>
          <w:b/>
        </w:rPr>
        <w:t xml:space="preserve">Quelle: </w:t>
      </w:r>
      <w:r>
        <w:t>https://mcp.opencaselaw.ch/entscheid/ge_gerichte_C_19464_2018</w:t>
      </w:r>
    </w:p>
    <w:p>
      <w:r>
        <w:t>FR: GE_GERICHTE C/19464/2018 du 13 novembre 2023</w:t>
      </w:r>
    </w:p>
    <w:p>
      <w:r>
        <w:t>IT: GE_GERICHTE C/19464/2018 del 13 novembre 2023</w:t>
      </w:r>
    </w:p>
    <w:p>
      <w:pPr>
        <w:pStyle w:val="Heading2"/>
      </w:pPr>
      <w:r>
        <w:t>Regeste</w:t>
      </w:r>
    </w:p>
    <w:p>
      <w:r>
        <w:t>CO.273; CO.257d; CO.256</w:t>
      </w:r>
    </w:p>
    <w:p>
      <w:pPr>
        <w:pStyle w:val="Heading2"/>
      </w:pPr>
      <w:r>
        <w:t>Erwägungen</w:t>
      </w:r>
    </w:p>
    <w:p>
      <w:r>
        <w:rPr>
          <w:b/>
        </w:rPr>
        <w:t>E. 11</w:t>
      </w:r>
    </w:p>
    <w:p>
      <w:r>
        <w:t>mars 2019 et 23 août 2019, H______ SA a conclu au fond, à ce que le Tribunal constate la validité du congé donné le 20 juillet 2018 pour le 31 août 2018 ainsi que du congé donné le 26 décembre 2019 pour le 31 janvier 2019 concernant les locaux de l'HÔTEL C______, fondés, d'une part, sur la sous-location non-autorisée et, d'autre part, sur la demeure du locataire. Sur demande reconventionnelle, H______ SA a conclu à l'évacuation de la locataire et la remise des clés d'accès sous la menace de la peine prévue à l'art. 292 CP et à des mesures d'exécution directes. H______ SA a affirmé avoir eu connaissance de l'existence de A______ SARL et du bail à loyer principal à la mi-avril 2018, seulement, par le biais de [son conseiller] S______. L'existence et les conditions d'une sous-location à P______ (et non d'un contrat hôtelier comme soutenu par son adverse partie) n'avaient pas non plus été portées à sa connaissance. Selon la bailleresse, la lettre du 21 mars 2018 par laquelle E______ acceptait - à quelques jours de sa révocation - de reporter le paiement de loyer n'avait aucune portée. En effet, ce dernier ne pouvait établir l'accord des actionnaires à cet acte, qui, au surplus, privilégiait ses intérêts propres, ainsi que ceux de sociétés tierces, au détriment de la santé financière de la bailleresse. H______ SA a souligné qu'elle ne s'était jamais engagée à rénover les locaux de l'HÔTEL C______. Ainsi, au moment de la mise en demeure, le paiement du loyer était bel et bien exigible. Comme il était resté impayé à l'échéance du délai comminatoire, la résiliation était efficace. La notification du 26 décembre 2018 était, au demeurant, valable dans la mesure où les représentants de A______ SARL devaient prendre - et avaient pris - des mesures pour s'assurer du suivi des affaires de la société pendant leur détention provisoire en instruisant la comptable de la société et mère de E______, V______. Celle-ci avait pris contact avec le conseil de H______ SA à la mi-mars 2019 afin de l'inviter "à discuter de l'HÔTEL C______" avec le conseil de l'époque de A______ SARL, ce qui laissait inférer qu'elle avait pris connaissance des envois litigieux (du moins ceux adressés par pli simple et par courriel à l'adresse professionnelle de E______). Quand bien même H______ SA n'avait aucune obligation d'adresser la résiliation litigieuse au conseil de l'époque de A______ SARL, elle lui en avait adressé une copie par courriel à titre confraternel, laquelle était bien parvenue à son destinataire selon les recherches effectuées par un informaticien. d. Par mémoire de réponse à la demande reconventionnelle du 1 er novembre 2019, A______ SARL a conclu au déboutement de sa partie adverse. Elle a exposé avoir opéré une élection [générale] de domicile en l'Etude de Me T______, ce que la procuration jointe dans tous les dossiers [judiciaires] et la lettre de constitution mentionnaient dans les termes suivants "litige opposant A______ contre H______". Les avis de résiliation originaux n'étaient jamais parvenus à son domicile élu et leur réception par courriel était contestée. En même temps qu'elle réaffirmait que les chambres étaient inexploitables, A______ SARL a admis avoir remis l'usage de plusieurs chambres de l'HÔTEL C______ à P______ en janvier [2018] à la suite de quelques travaux. A______ SARL facturait les chambres occupées par P______ par jour, ce qui devait conduire non seulement à exclure l'existence d'un contrat de sous-location mais aussi justifier le fait qu'elle conserve ces revenus conformément au contrat principal qu'elle qualifiait de bail à ferme. Faute pour H______ SA d'avoir rempli ses obligations, A______ SARL avait été - et était encore - empêchée d'exploiter l'HÔTEL C______. Elle se plaignait également du fait que les nouveaux administrateurs de H______ SA avaient mis "dehors" les occupants des chambres de l'HÔTEL C______ et empêché la mise à disposition de celles-ci par A______ SARL à P______. e. Invitée à se déterminer sur cette écriture, H______ SA y a renoncé. f. A l'audience de plaidoiries finales du 1 er novembre 2022, les parties ont persisté dans leurs conclusions. g. Dans le jugement entrepris du 21 décembre 2022, le Tribunal a considéré, s'agissant de l'établissement de l'HÔTEL C______, que les parties étaient liées par un contrat de bail à loyer, et non par un bail à ferme, dès lors que les locaux ne permettaient pas, en l'état, l'exploitation commerciale d'un hôtel compte tenu de la pauvreté et de la vétusté des aménagements et installations. Les enquêtes avaient permis d'établir qu'à aucun moment les locaux de l'HÔTEL C______ n'avaient été donnés en sous-location, même partiellement. Partant, le congé donné en raison d'une sous-location des locaux litigieux apparaissait inefficace. Quant au congé signifié fondé sur le défaut de paiement du loyer par la locataire, l'avis de résiliation y relatif adressé le 26 décembre 2018 au siège de la locataire était valable d'un point de vue formel. D'une part, au moment de la résiliation, la locataire n'était pas représentée par Me T______ pour recevoir le congé litigieux. La constitution du 5 décembre 2018 de ce dernier auprès de son confrère se référait expressément aux deux autres procédures alors pendantes en contestation de la résiliation donnée pour sous-location non autorisée et n'indiquait pas qu'elle valait pour l'intégralité des questions liées au rapport de bail ni que l'élection devait valoir adresse de notification pour toutes les correspondances ultérieures. D'autre part, les dirigeants et représentants de la locataire se trouvaient en détention préventive depuis trois semaines lors de l'envoi de l'avis de résiliation litigieux. Il leur appartenait dans cette situation d'organiser les affaires de la société afin d'être à même de prendre connaissance en temps voulu de tous les courriers et avis recommandés qui pouvaient être notifiés, ce d'autant plus qu'ils pouvaient s'y attendre au vu de la mise en demeure adressée le 23 octobre 2018 fixant le délai comminatoire de 60 jours pour s'exécuter. Le congé examiné n'était donc pas nul. L'avis étant entré dans la sphère d'influence de la locataire le lendemain ( i.e le 29 décembre 2018), le dernier jour du délai pour contester le congé arrivait à échéance le 28 janvier 2019. Déposée le 3 avril 2019, l'action en annulation du congé avait été introduite tardivement. Enfin, l'accord signé le 21 mars 2018 par E______ en qualité d'administrateur de la bailleresse afin de reporter l'exigibilité de la créance de loyer en faveur de la société locataire dont il était économiquement le propriétaire consistait en un contrat conclu avec lui-même au sens large ( Insichgeschäfte ). Il existait un risque de conflit d'intérêts qui était non seulement avéré mais lésait effectivement les intérêts de la bailleresse en la privant du loyer prévu et initialement fixé au 30 septembre 2018, exigible indépendamment de l'avancement des travaux à cette date, au profit de la société locataire, et partant, pour son propriétaire, E______. L'assemblée générale de la société bailleresse, en tant qu'organe de rang supérieur, n'avait ni approuvé ni validé a posteriori l'acte litigieux. Partant, l'accord du 21 mars 2018, faute d'avoir été ratifié par l'organe compétent de la bailleresse, n'était pas valable et ne liait pas la bailleresse. Dans la mesure où la locataire ne s'était pas acquittée dans le délai comminatoire du loyer de 100'000 fr. échéant valablement au 30 septembre 2018 à teneur du contrat de bail, le congé donné pour ce motif était valable. La résiliation était donc efficace.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charges comprises, s'élève à 400'000 fr. La valeur litigieuse (400'000 fr. x 3) est largement supérieure à 10'000 fr., de sorte que la voie de l'appel est ouverte. 1.3 L'appel a été interjeté en temps utile, compte tenu des féries judiciaires (art. 145 al. 1 let. c CPC), et suivant la forme prescrite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soutient que la résiliation de bail du 26 décembre 2018 serait nulle au motif qu'elle serait contraire à la bonne foi dans la mesure où l'intimée savait que les deux gérants de la société se trouvaient en détention et qu'elle ne pouvait dès lors adresser ladite résiliation au siège de la société. Elle était, en outre, alors représentée par Me T______. 2.1 Selon l'art. 273 al. 1 CO, la partie qui veut contester le congé doit saisir l'autorité de conciliation dans les 30 jours qui suivent la réception du congé. La communication du congé obéit en droit du bail à la théorie de la réception absolue (ATF 143 III 15 consid. 4.1; 140 III 244 consid. 5; 137 III 208 consid. 3.1.2; 118 II 42 consid. 3; 107 II 189 consid. 2). La résiliation du bail est une décision unilatérale de volonté de l'une des parties au contrat, qui est soumise à réception.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143 III 15 consid. 4.1; 137 III 208 consid. 3.1.2). En principe, le congé est valablement notifié par le bailleur à l'adresse de correspondance indiquée dans le contrat de bail, laquelle correspond en général à l'adresse de l'objet loué dans les baux d'habitation.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(arrêt du Tribunal fédéral 4A_67/2021 du 8 avril 2021 consid. 5.2; 4A_74/2011 du 2 mai 2011 consid. 3; Bohnet, Bail et notification viciée, in: Newsletter Bail.ch juillet 2011). 2.2 En l'espèce, la bailleresse a adressé la résiliation de bail du 26 décembre 2018 à l'appelante à l'adresse des locaux loués, comme elle devait le faire en application du principe général applicable en la matière. H______ SA avait certes connaissance de la détention provisoire des représentants de la locataire à cette date. Ladite détention durait toutefois, à cette date, depuis une vingtaine de jours, soit un délai suffisant pour permettre aux précités et à l'appelante de s'organiser pour réceptionner son courrier. De plus, les représentants de la locataire devaient s'attendre, avant même leur mise en détention, à ce que des actes soient notifiés à la société locataire de la part de la bailleresse. En effet, cette dernière l'avait mise en demeure, par courrier du 23 octobre 2018, soit avant la mise en détention de ses représentants intervenue le 5 décembre 2018, de s'acquitter dans un délai de 60 jours du loyer en 100'000 fr. correspondant au premier trimestre pour la location de l'HÔTEL C______ dû le 30 septembre 2018, précisant ne pas être liée par le courrier reportant cette échéance. Quelques jours plus tard, la bailleresse a procédé à la résiliation du bail portant cette fois sur les locaux de l'AUBERGE N______, en raison du non-paiement des arriérés de loyer. Dès lors, les représentants de la locataire connaissaient la position de la bailleresse quant au paiement du loyer de l'HÔTEL C______ et du fait qu'à défaut de paiement, elle engagerait une procédure judiciaire puisqu'elle l'avait fait pour l'autre établissement. En tout état de cause, la détention des gérants de la société n'excluait pas, même sans que des mesures particulières soient prises, que d'autres personnes soient habilitées à recevoir le courrier recommandé contenant la résiliation de bail, telle une employée, soit en l'occurrence la comptable de la société et mère de E______. Le Tribunal l'a d'ailleurs relevé, sans que l'appelante ne le conteste de manière motivée. Concernant une éventuelle obligation d'adresser la résiliation de bail à Me T______, celui-ci avait informé la bailleresse, le 5 décembre 2018, par deux plis séparés, être chargé de la défense de l'appelante, avec élection de domicile en son étude, référence faite aux procédures pendantes en annulation des résiliations fondées sur l'existence d'une sous-location non autorisée (causes C/19464/2018 et C/4______/2018). L'élection de domicile ne concernait dès lors pas la résiliation de bail pour défaut de paiement, alors même que celle-ci avait été précédée par l'envoi, le 23 octobre 2018, soit antérieurement au courrier de Me T______ du 5 décembre 2018, d'un avis comminatoire. Au vu de ce qui précède, c'est à bon droit que le Tribunal a considéré que la résiliation de bail du 26 décembre 2018 était valable. 3. 3.1 L'appelante conteste l'exigibilité du loyer en se prévalant du courrier du 21 mars 2018 signé par la bailleresse en vue de reporter l'échéance du premier loyer. A cet égard, elle conteste l'existence d'un conflit d'intérêts entre E______ et la bailleresse, celui-ci ne pouvant être assimilé à A______ SARL ou à H______ SA. La modification était, en outre, conforme aux intérêts des deux parties, et notamment de la bailleresse. 3.1.1 En vertu de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En cas de non-paiement dans le délai, il peut, moyennant un délai de congé de 30 jours pour la fin d'un mois, résilier le bail en application de l'article 257d al. 2 CO. 3.1.2 Dans un arrêt récent, le Tribunal fédéral a rappelé les principes gouvernant l'admissibilité d'un acte juridique conclu avec soi-même, situation dans laquelle une même personne est doublement partie à l'acte juridique, d'un côté pour son propre compte, de l'autre comme représentante d'autrui (arrêt du Tribunal fédéral 4A_488/2021 du 8 mars 2022 consid. 5.1 et 5.3.2). Le Tribunal fédéral a ainsi réaffirmé que bien que le droit suisse ne contienne aucune règle générale spécifique sur le contrat conclu avec soi-même stricto sensu (Selbstvertrag; contratto con se stesso), cette figure, à l'instar de la double représentation (Doppelvertretung, doppia rappresentanza), recèle un risque de conflit d'intérêts. De jurisprudence constante, ce type de contrat est inadmissible (unzulässig), et partant dépourvu de validité (ungültig), sous réserve de deux exceptions : (1) La nature même de l'affaire exclut tout risque de léser le représenté. Tel est notamment le cas lorsque l'acte est conclu aux conditions du marché. (2) Le représenté y a consenti par avance ou a ratifié l'acte (ATF 144 III 388 consid. 5.1; 127 III 332 consid. 2a; 126 III 361 consid. 3a; arrêt du Tribunal fédéral 4A_488/2021 du 8 mars 2022 consid. 5.3.2). Ces principes valent aussi pour la représentation légale d'une personne morale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(ATF 144 III 388 consid. 5.1; 126 III 361 consid. 3a; arrêt du Tribunal fédéral 4A_488/2021 du 8 mars 2022 consid. 5.3.2). La doctrine met en garde contre les mécanismes visant à éluder l'interdiction de contracter avec soi-même, notamment lorsque l'administrateur pris dans un conflit d'intérêts habilite un autre administrateur doté, comme lui, de la signature collective, à signer seul l'acte dans lequel il a un intérêt. En ce cas, l'acte doit être tenu pour nul (arrêt du Tribunal fédéral 4A_488/2021 du 8 mars 2022 consid. 5.3.4 et les références doctrinales citées). La nullité d'un acte juridique en raison d'une double-représentation ou d'un contrat avec soi-même est une nullité relative. Il appartient donc à la partie protégée de faire valoir ce moyen (Fournier, in L'imputation de la connaissance - Etude de droit privé suisse, 2021 (Ed. Dubey/ Stöckli), p. 47-81, n. 167; Engel, Traité du droit des obligations en droit suisse, 1997, p. 415). 3.2 En l'espèce, le contrat de bail du 5 janvier 2018 prévoit que le loyer correspondant au premier trimestre était exigible au plus tard le 30 septembre 2018 (clause IV). Par courrier du 21 mars 2018, E______ a autorisé, seul, en qualité d'administrateur de la bailleresse, le report de l'exigibilité du loyer dû par la société locataire dont il est économiquement partiellement propriétaire, étant rappelé qu'il est associé-gérant avec signature individuelle et propriétaire de la moitié de l'actionnariat de A______ SARL en faveur de laquelle l'acte a été conclu. De plus, il ressort du dossier que seul E______ intervenait pour A______ SARL, ses partenaires tels que l'association P______ n'ayant jamais entendu parler de F______, qui figure également comme gérant de A______ SARL au Registre du commerce. Dans ces circonstances, E______ est doublement partie à l'acte juridique litigieux, d'un côté comme représentant de la bailleresse et, de l'autre côté, au travers de la société A______ SARL qu'il dirige de manière effective et dont il est propriétaire. Le fait que l'accord ait été adressé par E______ à la locataire, soit pour elle, son autre propriétaire (et associé-gérant), F______, demeure sans incidence et, au vu des circonstances telles que décrites ci-dessus, ne constituerait qu'une opération visant à éluder l'interdiction de contracter avec soi-même. Par ailleurs, cela pas d'effet sur l'existence du conflit d'intérêts dans lequel se trouvait E______. Il était placé entre les intérêts de la bailleresse à percevoir les loyers dus et ceux, opposés, de A______ SARL et, partant, ses propres intérêts, qui commandaient de reporter le paiement du loyer le plus longtemps possible. Il y a ainsi lieu d'admettre, avec le Tribunal, qu'il s'agit d'un contrat conclu avec soi-même, en principe inadmissible selon la jurisprudence constante du Tribunal fédéral. Quoi qu'en dise l'appelante, l'accord litigieux ne correspond pas à des conditions usuelles du marché dans la mesure où le délai de paiement accordé dépendait de travaux qui n'étaient ni acceptés - les parties divergeant sur le financement de ces travaux - ni même planifiés au moment de la signature de l'acte. Dit accord conduirait ainsi à priver la bailleresse de loyers pendant une période indéterminée, au profit de la locataire et, partant, de E______, ce qui paraît déraisonnable. En l'absence de toute approbation ou ratification de l'accord du 21 mars 2018 par l'assemblée générale de la société bailleresse, ce qui n'est pas contesté, aucune des exceptions admises par la jurisprudence en la matière n'est en l'espèce réalisée. Dès lors, la clause du 21 mars 2018 visant à prolonger l'échéance du loyer n'est pas valable et ne déploie pas d'effet juridique. Le loyer de 100'000 fr. était donc dû au 30 septembre 2018, conformément au contrat de bail. A défaut de paiement à l'échéance du délai comminatoire, le congé donné pour ce motif est valable. Ce grief est infondé et sera rejeté. 4. L'appelante soutient que le loyer n'était pas exigible en raison du fait que l'intimée n'avait pas pris toutes les mesures préparatoires pour mettre à disposition les locaux conformément au contrat. Aucun état des lieux d'entrée n'avait été effectué et elle n'avait jamais été en mesure d'exploiter les locaux. Elle ne pouvait dès lors être mise en demeure de payer le loyer. 4.1 4.1.1 En vertu de l'art. 253 CO, le bail à loyer est un contrat par lequel le bailleur s'oblige à céder l'usage d'une chose au locataire, moyennant un loyer. L'art. 257 CO précise que le loyer est la rémunération due par le locataire au bailleur en contrepartie de la cession de l'usage de la chose. Cette disposition, qui complète l'art. 253 CO, rappelle la nature synallagmatique du contrat de bail (CPra Bail, 2ème éd. 2017 - Bieri, art. 257 n. 1). 4.1.2 Selon l'art. 256 al. 1 CO, le bailleur doit remettre et maintenir, tout au long du contrat, la chose louée dans un état approprié à l'usage convenu. L'usage convenu se détermine prioritairement en fonction des termes du contrat de bail et de ses annexes. Le contrat peut prévoir la destination des locaux (Gebrauchszweck), qui sont affectés par exemple à l'habitation ou à des bureaux; il peut également spécifier les modalités de cet usage (Gebrauchsmodalitäten), à savoir la manière dont la chose louée doit être utilisée, comme par exemple l'intensité de l'usage. Si le bail ne précise pas clairement l'usage convenu, celui-ci doit être dégagé à partir des règles régissant l'interprétation des contrats (ATF 136 III 186 consid. 3.1.1 et les références citées; arrêt du Tribunal fédéral 4A_208/2015 du 12 février 2016 consid. 3.1 et références citées). Tout ce qui s'écarte de l'état conforme à l'usage convenu constitue un défaut de la chose louée (art. 258 al. 1 CO; ATF 135 III 345 consid. 3.2; arrêt du Tribunal fédéral 4A_395/2017 du 11 octobre 2018 consid. 5.2 et les références citées). 4.1.3 Aux termes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Les loyers consignés sont réputés payés (art. 259g al. 2 CO). La consignation constitue une lex specialis par rapport à l'art. 82 CO (exception d'inexécution). Le locataire ne peut dès lors pas se prévaloir de l'art. 82 CO en cas de défaut. Il doit exiger la réparation et le cas échéant consigner le loyer s'il veut se mettre à l'abri d'une résiliation anticipée de son bail. S'il se limite à une déclaration de réduction du loyer et retient la quote-part correspondante, il s'expose selon les circonstances à un congé abrupt (Lachat/Bohnet, in Commentaire romand CO I, art. 253-529 CO, 3 ème éd. 2021, n. 4b ad art. 259d CO; n. 2 ad art. 259g CO et les références citées). 4.2 En l'espèce, l'appelante prétend que la bailleresse aurait dû effectuer des travaux de remise en état et qu'à défaut elle n'a pas exécuté son obligation de remettre les locaux conformément au contrat. Or, l'usage convenu de la chose louée se détermine en premier lieu selon le contrat de bail, lequel est, en l'espèce, clair à ce sujet. Il en ressort, de manière explicite et non équivoque, que l'appelante connaissait bien l'état des locaux et acceptait de les prendre en location "en l'état" en contrepartie du loyer convenu, à charge pour elle d'entreprendre des travaux d'aménagement (clause II du contrat). Il n'y est pas question d'une obligation d'effectuer de quelconques travaux à la charge de la bailleresse. Les allégations en ce sens de l'appelante ne reposent sur aucun élément concret du dossier, étant précisé que les déclarations faites en audience par les représentants de l'association P______ se fondent en définitive sur ces seules allégations de l'appelante puisqu'elle ne traitait qu'avec cette dernière. De surcroît, même dans l'hypothèse où les locaux n'auraient pas été remis conformément à l'usage convenu, ils auraient été affectés d'un défaut, de sorte qu'il appartenait à l'appelante d'adresser un avis des défauts à l'intimée et de consigner le loyer, ce qu'elle n'a pas fait. La consignation du loyer au sens de l'art. 259g CO étant une lex specialis par rapport à l'exception d'inexécution de l'art. 82 CO, l'appelante ne peut se limiter à ne pas fournir sa contre prestation. Infondé, le grief sera rejeté. 5. Au vu de ce qui précède, le jugement sera confirmé dans son intégralité. 6. A teneur de l'art. 22 al. 1 LaCC, il n'est pas prélevé de frais dans les causes soumises à la juridiction des baux et loyers (ATF 139 III 182 consid. 2.6). * * * * * PAR CES MOTIFS, La Chambre des baux et loyers : A la forme : Déclare recevable l'appel interjeté le 1 er février 2023 par A______ SARL contre le jugement JTBL/984/2022 rendu le 21 décembre 2022 par le Tribunal des baux et loyers dans la cause C/19464/2018. Au fond : Confirme ce jugement. Dit que la procédure est gratuite. Déboute les parties de toutes autres conclusions. Siégeant : Madame Nathalie LANDRY-BARTHE, présidente; Madame Sylvie DROIN et Monsieur Laurent RIEBEN, juges; Madame Laurence MIZRAHI et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