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C/19368/2017 vom 6. März 2023</w:t>
      </w:r>
    </w:p>
    <w:p>
      <w:r>
        <w:t>GE Cour de justice, 2023-03-06, FR</w:t>
      </w:r>
    </w:p>
    <w:p>
      <w:r>
        <w:rPr>
          <w:b/>
        </w:rPr>
        <w:t xml:space="preserve">Quelle: </w:t>
      </w:r>
      <w:r>
        <w:t>https://mcp.opencaselaw.ch/entscheid/ge_gerichte_C_19368_2017</w:t>
      </w:r>
    </w:p>
    <w:p>
      <w:r>
        <w:t>FR: GE_GERICHTE C/19368/2017 du 6 mars 2023</w:t>
      </w:r>
    </w:p>
    <w:p>
      <w:r>
        <w:t>IT: GE_GERICHTE C/19368/2017 del 6 marzo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les parties n'ont pas convenu de montant payable en argent pour l'usage des biens loués, mais aucune d'elles ne conteste qu'elles sont liées par un bail à loyer, ce qu'a admis le Tribunal. Ainsi, le loyer annuel du logement est difficilement déterminable, puisqu'il correspond au pro rata de la valeur des travaux effectués par l'appelant pour rendre son logement habitable, laquelle n'a pas été chiffrée. L'appelant estime son loyer à 300 fr. par mois, donc 3'600 fr. par an, par référence au loyer d'une autre locataire de l'immeuble. L'intimée ne conteste pas cette appréciation, de sorte qu'elle peut être retenue, eu égard notamment à l'issue de la cause. La valeur litigieuse est donc supérieure à 10'000 fr. (3'600 fr. x 3 = 10'800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une nouvelle pièce et allégué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la pièce nouvelle produite par l'appelant est un arrêt de la Chambre administrative de la Cour rendu le 21 décembre 2021. L'appelant se réfère en outre, dans sa réplique, à un arrêt du Tribunal fédéral du 20 avril 2022 ( 1C_40/2022 ). S'agissant de jurisprudence, publiée sur les sites Internet du Pouvoir judiciaire genevois et du Tribunal fédéral et librement accessible ou pour le moins qui sont connus de la Cour et des parties, il faut considérer qu'il s'agit de faits notoires, qui n'ont ni à être allégués, ni à être prouvés, et, pour partie, d'argumentation juridique nouvelle, recevable en appel (arrêt du Tribunal fédéral 4A_486/2017 du 23 mars 2018 consid. 3).</w:t>
      </w:r>
    </w:p>
    <w:p>
      <w:r>
        <w:rPr>
          <w:b/>
        </w:rPr>
        <w:t>E. 3</w:t>
      </w:r>
    </w:p>
    <w:p>
      <w:r>
        <w:t>L'appelant conteste la validité du congé, constatée par le Tribunal.</w:t>
      </w:r>
    </w:p>
    <w:p>
      <w:r>
        <w:rPr>
          <w:b/>
        </w:rPr>
        <w:t>E. 3.1.1</w:t>
      </w:r>
    </w:p>
    <w:p>
      <w:r>
        <w:t>Chaque partie est en principe libre de résilier un bail de durée indéterminée pour la prochaine échéance légale ou contractuelle; aucun motif particulier n'est exigé (art. 266a al. 1 CO; ATF 148 III 215 consid. 3.1.1; 145 III 143 consid. 3.1; 140 III 496 consid. 4.1). Le bailleur peut ainsi congédier le locataire pour exploiter son bien de la façon la plus conforme à ses intérêts (ATF 136 III 190 consid. 3), pour effectuer des travaux de transformation ou de rénovation importants (ATF 142 III 91 consid. 3.2.1; 140 III 496 consid. 4.1) ou pour optimiser son rendement (ATF 136 III 190 consid. 2). Cette liberté trouve cependant ses limites dans les règles de la bonne foi : la résiliation des baux d'habitations ou de locaux commerciaux est annulable lorsqu'elle contrevient auxdites règles (art. 271 al. 1 CO; cf. aussi art. 271a CO). De façon générale, un tel cas de figure est réalisé lorsque la résiliation ne répond à aucun intérêt objectif, sérieux et digne de protection, est purement chicanière ou consacre une disproportion manifeste des intérêts en présence (ATF 140 III 496 consid. 4.1). A cet égard, il ne suffit pas que la résiliation entraîne des conséquences pénibles pour le locataire, cet élément pouvant en revanche justifier une prolongation de bail (cf. art. 272 al. 1 CO; ATF 142 III 91 consid. 3.2.1; 138 III 59 consid. 2.1; arrêt du Tribunal fédéral 4A_435/2021 du 14 février 2022 consid. 3.1.1). Pour résoudre la question juridique de savoir si le congé contrevient à la bonne foi, il faut connaître le motif réel de son auteur, ce qui revient à constater un fait (ATF 136 III 190 consid. 2; arrêts du Tribunal fédéral 4A_491/2018 du 8 mai 2019 consid. 2.1.1; 4A_476/2016 du 20 février 2017 consid. 2.2.1). Le juge doit se placer au moment où la résiliation a été notifiée (ATF 148 III 215 consid. 3.1.4; 142 III 91 consid. 3.2.1; 140 III 496 consid. 4.1; 138 III 59 consid. 2.1). Des faits survenus ultérieurement ne sont pas susceptibles d'influer a posteriori sur cette qualification : si le motif pour lequel le congé a été donné tombe par la suite, le congé ne devient pas abusif a posteriori . En revanche, des faits ultérieurs peuvent fournir un éclairage sur les intentions de l'intéressé au moment de la résiliation (ATF 138 III 59 consid. 2.1; arrêts du Tribunal fédéral 4A_435/2021 précité consid. 3.1.1; 4A_388/2016 du 15 mars 2017 consid. 3.4; 4A_67/2016 du 7 juin 2016 consid. 6.1).</w:t>
      </w:r>
    </w:p>
    <w:p>
      <w:r>
        <w:rPr>
          <w:b/>
        </w:rPr>
        <w:t>E. 3.1.2</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(art. 271 al. 2 CO); en cas de contestation, il doit fournir tous les documents nécessaires pour établir ledit motif (ATF 138 III 59 consid. 2.1).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(ATF 143 III 344 consid. 5.3.1 et 5.3.4; 138 III 59 consid. 2.1 et 2.3; arrêt du Tribunal fédéral 4A_435/2021 précité consid. 3.1.2).</w:t>
      </w:r>
    </w:p>
    <w:p>
      <w:r>
        <w:rPr>
          <w:b/>
        </w:rPr>
        <w:t>E. 3.1.3</w:t>
      </w:r>
    </w:p>
    <w:p>
      <w:r>
        <w:t>D'après la jurisprudence fédérale, le congé donné pour effectuer des travaux de rénovation a été jugé contraire à la bonne foi notamment dans les cas suivants : 1) Lorsque le projet de travaux est dépourvu de réalité tangible, respectivement lorsqu'il n'est pas possible d'apprécier l'importance des travaux envisagés et de déterminer si ceux-ci nécessitent le départ des locataires (ATF 142 III 91 consid. 3.2.1 et 3.2.3; 140 III 496 consid. 4.2.2; 135 III 112 consid. 4.2; arrêts du Tribunal fédéral 4A_491/2018 précité consid. 2.1.2; 4A_127/2017 du 25 octobre 2017 consid. 2.4; 4A_703/2016 du 24 mai 2017 consid. 4.2 non publié à l'ATF 143 III 344 ).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du Tribunal fédéral 4A_200/2017 du 29 août 2017 consid. 4.2.2). A elle seule, la ferme intention générale de rénover et transformer un immeuble n'est pas suffisante (ATF 140 III 496 consid. 4.2.2; arrêt du Tribunal fédéral 4A_435/2021 précité consid. 3.1.3). 2) Lorsque le congé est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(ATF 142 III 91 consid. 3.2.1; 140 III 496 consid. 4.1; arrêts du Tribunal fédéral 4A_491/2018 précité consid. 2.1.2; 4A_127/2017 précité consid. 2.4; 4A_703/2016 , précité, consid. 4.2). Il s'agit de pronostiquer si, au moment où le congé a été donné, l'autorisation des travaux envisagés paraissait de toute évidence exclue; une probabilité non négligeable de refus n'est pas suffisante (ATF 140 III 496 consid. 4.2.1; arrêts du Tribunal fédéral 4A_435/2021 précité consid. 3.1.3; 4A_491/2018 précité consid. 2.1.2; 4A_142/2017 du 3 août 2017 consid. 4.1).</w:t>
      </w:r>
    </w:p>
    <w:p>
      <w:r>
        <w:rPr>
          <w:b/>
        </w:rPr>
        <w:t>E. 3.1.4</w:t>
      </w:r>
    </w:p>
    <w:p>
      <w:r>
        <w:t>La loi genevoise sur les démolitions, transformations et rénovations de maisons d'habitation (mesures de soutien en faveur des locataires et de l'emploi; LDTR L 5 20)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 ère phr. LDTR, le propriétaire a l'obligation d'informer au préalable et par écrit les locataires et de les consulter " en dehors de toute résiliation de bail ", lorsqu'il a l'intention d'exécuter des travaux au sens de la LDTR. En principe, la réglementation de droit civil est exclusive et les cantons ne peuvent adopter des règles de droit privé dans les domaines régis par le droit fédéral que si ce dernier leur en réserve la possibilité (art. 5 al. 1 CC; ATF 117 Ia 328 consid. 2b; 113 Ia 309 consid. 3b et l'arrêt cité). En matière de bail, la réglementation fédérale est exhaustive, sous réserve de la compétence laissée aux cantons d'édicter certaines règles de droit privé complémentaires (art. 257e al. 4, art. 270 al. 2 CO) (ATF 117 Ia 328 consid. 2b p. 331). A défaut d'une telle réserve, il est interdit aux cantons d'intervenir dans les rapports directs entre les parties au contrat de bail (cf. ATF 117 Ia 328 consid. 2a et 2b; 116 Ia 401 consid. 4b/aa et les arrêts cités; 137 I 135 consid. 2.5.1). Les cantons demeurent par exemple libres d'édicter des mesures destinées à combattre la pénurie dans le secteur locatif dans la mesure où leur finalité n'est pas d'intervenir dans les rapports entre bailleur et preneur (ATF 89 I 178 consid. 3d ; 137 I 135 consid. 5.1.2). Selon la jurisprudence, l'expression " en dehors de toute résiliation du bail " figurant à l'art. 43 al. 1 LDTR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cette formule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(ATF 113 Ia 143 /144 consid. 9d). Ainsi, la mention " en dehors de toute résiliation du bail " ne produit aucun effet dans les rapports entre bailleurs et locataires et ne peut en aucun cas empêcher une résiliation de bail dans la procédure d'information et de consultation qu'elle institue (ATF 116 Ia 401 consid. 8).</w:t>
      </w:r>
    </w:p>
    <w:p>
      <w:r>
        <w:rPr>
          <w:b/>
        </w:rPr>
        <w:t>E. 3.1.5</w:t>
      </w:r>
    </w:p>
    <w:p>
      <w:r>
        <w:t>La Chambre administrative de la Cour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si, au contraire, le congé est confirmé, le locataire, qui doit quitter les lieux, n'est plus concerné par le projet de démolition et n'a ainsi plus d'intérêt pratique à recourir (voir parmi d'autres ATA/1755/2019 du 3 décembre 2019 et les références citées).</w:t>
      </w:r>
    </w:p>
    <w:p>
      <w:r>
        <w:rPr>
          <w:b/>
        </w:rPr>
        <w:t>E. 3.2</w:t>
      </w:r>
    </w:p>
    <w:p>
      <w:r>
        <w:t>En l'espèce, l'appelant reproche aux premiers juges d'avoir retenu que le projet de travaux était réel et réalisable, étant donné que la bailleresse n'avait pas prouvé sa capacité financière à mener à bien le projet. Il était nécessaire qu'elle produise davantage de documents à ce sujet. C______, chancelière, devait être entendue en qualité de témoin sur ce point. En outre, la bailleresse avait violé son obligation de relogement résultant de la LDTR. Il s'agissait d'un empêchement de droit public à l'accomplissement des travaux, de même que l'absence d'autorisation obtenue du Conseil d'Etat telle que prévue à l'art. 15 de la loi genevoise sur la protection des monuments, de la nature et des sites (LPMNS; L 4 05), prévoyant que l'immeuble classé ne pouvait, sans l'autorisation du Conseil d'Etat, être démoli, faire l'objet de transformations importantes ou d'un changement dans sa destination. L'appelant ne conteste donc plus que l'importance des travaux tels qu'envisagés par la bailleresse implique son départ. Il ne remet pas non plus en cause le fait que l'autorisation de construire est en force, ni que le chantier a été ouvert dans le délai imparti. S'agissant de la problématique de la capacité de la bailleresse à réaliser les travaux litigieux, l'obtention de l'autorisation de construire est un indice fort de l'existence d'un projet sérieux de sa part. D'ailleurs, cette intention de rénover l'immeuble, qui apparaît à ce stade nécessaire au vu de son état de délabrement et de l'obligation de procéder à des travaux d'urgence, avait été exprimée dans les années 1990 déjà. Il est vrai que la mise en faillite de la bailleresse intervenue entretemps ne présage a priori pas d'une santé financière solide de sa part, mais, ainsi que l'a retenu à juste titre le Tribunal, cette seule circonstance ne permet pas de retenir qu'elle serait incapable de réaliser les travaux. Etant propriétaire de cet immeuble, dont la valeur est, au vu de sa situation, potentiellement importante, il apparaît vraisemblable qu'elle dispose ou qu'elle puisse disposer des fonds nécessaires pour mener à bien le projet. A fortiori , la faillite ouverte depuis 1998 aurait en toute hypothèse été clôturée s'il apparaissait que l'immeuble ne pouvait pas être valorisé pour désintéresser les créanciers. En outre, les nombreuses procédures judiciaires menées, ainsi que les travaux déjà réalisés, démontrent encore que ce projet est réel. Au vu des réquisits posés par la jurisprudence, il n'apparaîtrait ni utile, ni pertinent de demander à la bailleresse de produire des états financiers attestant de sa capacité à mener à bien le chantier. De tels documents prêteraient nécessairement matière à discussion - une preuve stricte documentaire de la capacité financière de mener un tel chantier paraissant difficilement concevable -, ce que démontre le caractère imprécis et large des réquisitions de preuves de l'appelant, qui demande tout à la fois le budget du chantier, des pièces comptables et des documents bancaires. En outre, les états financiers ne seraient pas nécessairement pertinents pour évaluer sa capacité à réaliser les travaux. Il est par ailleurs prévisible que la capacité de la bailleresse à mener les travaux conditionne elle-même sa situation financière. Par conséquent, les premiers juges ont considéré à bon droit que le projet de mener des travaux était réel et ne relevait pas d'une apparence abusive destinée à fonder des résiliations de bail. L'audition de la Chancelière d'Etat ne permettrait pas de modifier les constats qui précèdent, étant précisé que l'appelant s'abstient de décrire et d'exposer pourquoi elle aurait une connaissance plus détaillée de la réalité des travaux envisagés. S'agissant ensuite des contraintes résultant de normes de droit administratif, l'appelant perd de vue que l'autorité de céans n'a point de compétence pour en connaître. Tout au plus, les normes de droit public pourraient-elles être pertinentes en tant qu'il serait démontré qu'elles rendraient la réalisation du chantier impossible, mais tel n'est pas le cas. La question du relogement des locataires est en effet indépendante d'une éventuelle résiliation de leur bail. A suivre le raisonnement de l'appelant, il bénéficierait d'une protection supplémentaire contre les congés résultant de l'application du droit public cantonal, ce qui n'est pas envisageable. En effet, le droit public cantonal ne peut pas poser des conditions plus strictes à la résiliation des baux régis par le droit privé fédéral, en vertu de l'exhaustivité et de la force dérogatoire de celui-ci. Ainsi, seuls les locataires en possession d'un bail en cours peuvent prétendre au relogement en vertu de la LDTR, mais non ceux qui voient leur bail résilié, ce qui est le cas en l'espèce. S'agissant enfin de l'autorisation devant être demandée au Conseil d'Etat, la bailleresse a pris l'engagement devant la Chambre administrative de la Cour de la requérir. Si les déclarations de ses représentants et mandataires entendus par le Tribunal apparaissent fluctuantes à ce sujet, comme le souligne l'appelant, cela ne change rien au fait qu'il n'apparaît pas que cette autorisation puisse constituer un obstacle réel à la réalisation de travaux nécessitant le départ des locataires. En effet, d'une part, le délabrement des locaux implique que, dans un avenir proche, des travaux lourds soient entrepris. D'autre part, les éléments essentiels de l'autorisation à demander au Conseil d'Etat, en lien avec le caractère protégé de la bâtisse, ont déjà été pris en compte au moment de l'octroi de l'autorisation de construire sur laquelle se fonde la bailleresse. Aucun obstacle administratif à la poursuite des travaux de rénovation n'existe.</w:t>
      </w:r>
    </w:p>
    <w:p>
      <w:r>
        <w:rPr>
          <w:b/>
        </w:rPr>
        <w:t>E. 3.3</w:t>
      </w:r>
    </w:p>
    <w:p>
      <w:r>
        <w:t>Les griefs de l'appelant seront donc tous rejetés. Le congé étant fondé, le jugement entrepris sera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16 mai 2022 par A______ contre le jugement JTBL/233/2022 rendu le 30 mars 2022 par le Tribunal des baux et loyers dans la cause C/19368/2017-5-OSB. Au fond : Confirme ce jugement.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