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C/19112/2020 vom 17. Mai 2022</w:t>
      </w:r>
    </w:p>
    <w:p>
      <w:r>
        <w:t>GE Cour de justice, 2022-05-17, FR</w:t>
      </w:r>
    </w:p>
    <w:p>
      <w:r>
        <w:rPr>
          <w:b/>
        </w:rPr>
        <w:t xml:space="preserve">Quelle: </w:t>
      </w:r>
      <w:r>
        <w:t>https://mcp.opencaselaw.ch/entscheid/ge_gerichte_C_19112_2020</w:t>
      </w:r>
    </w:p>
    <w:p>
      <w:r>
        <w:t>FR: GE_GERICHTE C/19112/2020 du 17 mai 2022</w:t>
      </w:r>
    </w:p>
    <w:p>
      <w:r>
        <w:t>IT: GE_GERICHTE C/19112/2020 del 17 maggio 2022</w:t>
      </w:r>
    </w:p>
    <w:p>
      <w:pPr>
        <w:pStyle w:val="Heading2"/>
      </w:pPr>
      <w:r>
        <w:t>Regeste</w:t>
      </w:r>
    </w:p>
    <w:p>
      <w:r>
        <w:t>DIVORCE;OBLIGATION D'ENTRETIEN;CONJOINT;ENFANT;MAJORITÉ(ÂGE);REVENU HYPOTHÉTIQUE;LIQUIDATION DU RÉGIME MATRIMONIAL | CPC.157; CPC.164; CC.125; CC.204.al2; CC.207.al1; CC.276; CC.277.al2</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Le litige portant exclusivement sur les contributions d'entretien et la liquidation du régime matrimonial,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L'appel, motivé et formé par écrit dans un délai de trente jours à compter de la notification de la décision, est ainsi recevable (art. 130, 131, 145 al. 1 let. b et 311 al. 1 CPC).</w:t>
      </w:r>
    </w:p>
    <w:p>
      <w:r>
        <w:rPr>
          <w:b/>
        </w:rPr>
        <w:t>E. 1.2</w:t>
      </w:r>
    </w:p>
    <w:p>
      <w:r>
        <w:t>Formé dans la réponse à l'appel (art. 312 al. 2 et 313 al. 1 CPC) et dans le respect des formes énoncées ci-dessus, l'appel joint est également recevable. Par souci de simplification et pour respecter le rôle initial des parties en appel, l'ex-époux sera ci-après désigné en qualité d'appelant et l'ex-épouse en qualité d'intimée.</w:t>
      </w:r>
    </w:p>
    <w:p>
      <w:r>
        <w:rPr>
          <w:b/>
        </w:rPr>
        <w:t>E. 1.3</w:t>
      </w:r>
    </w:p>
    <w:p>
      <w:r>
        <w:t>La Cour revoit la cause en fait et en droit avec un plein pouvoir d'examen (art. 310 CPC). Dans une procédure matrimoniale entre époux, dans laquelle un enfant mineur est devenu majeur en cours de procédure tout en acquiesçant aux conclusions prises par son représentant légal, il ne se justifie pas de faire une distinction entre les enfants mineurs et majeurs. En effet, l'enfant devenu majeur, comme l'enfant mineur, n'étant pas partie à la procédure, il doit bénéficier d'une protection procédurale. Dans ce cas, l'application des maximes d'office et inquisitoire illimitée doit perdurer au-delà de la majorité de l'enfant pour la fixation de sa contribution d'entretien (arrêt du Tribunal fédéral 5A_524/2017 du 9 octobre 2017 consid. 3.2.2). La présente cause est ainsi soumise aux maximes d'office et inquisitoire illimitée en tant qu'elle concerne l'enfant cadet des parties (art. 296 al. 1 et 3 CPC; ATF 147 III 301 consid. 2.2). La Cour n'est donc pas liée par les conclusions des parties ni par l'interdiction de la reformatio in pejus (ATF 129 III 417 consid. 2.1.1; arrêt du Tribunal fédéral 5A_843/2018 du 12 février 2020 consid. 5.2). Les questions relatives à la liquidation du régime matrimonial et à l'entretien d'un époux après le divorce sont soumises à la maxime de disposition (art. 58 al. 1 CPC), ainsi qu'à la maxime des débats atténuée (art. 55 al. 1 et 277 al. 1 CPC).</w:t>
      </w:r>
    </w:p>
    <w:p>
      <w:r>
        <w:rPr>
          <w:b/>
        </w:rPr>
        <w:t>E. 1.4</w:t>
      </w:r>
    </w:p>
    <w:p>
      <w:r>
        <w:t>Les parties ont produit des pièces nouvelles à l'appui de leurs écritures d'appel.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w:t>
      </w:r>
    </w:p>
    <w:p>
      <w:r>
        <w:rPr>
          <w:b/>
        </w:rPr>
        <w:t>E. 1.4.2</w:t>
      </w:r>
    </w:p>
    <w:p>
      <w:r>
        <w:t>En l'occurrence, dès lors que les pièces produites en appel concernent la situation financière des parties et celle de leur fils cadet, elles sont recevables.</w:t>
      </w:r>
    </w:p>
    <w:p>
      <w:r>
        <w:rPr>
          <w:b/>
        </w:rPr>
        <w:t>E. 2</w:t>
      </w:r>
    </w:p>
    <w:p>
      <w:r>
        <w:t>L'intimée remet en cause la liquidation du régime matrimonial opérée par le Tribunal. Elle fait valoir que l'appelant n'a produit qu'une seule pièce à ce sujet, à savoir un état de ses avoirs de 3 ème pilier A au 31 décembre 2018, alors que les biens doivent être disjoints au jour du dépôt de la demande, soit au 29 septembre 2020. Elle avait requis - en vain - la production d'une pièce actualisée, de sorte que, vu le manque de collaboration de l'appelant, elle n'avait pas été en mesure de chiffrer sa prétention en liquidation du régime matrimonial. Dans la mesure où, lors de la dernière audience tenue le 3 mai 2021 par le Tribunal, la question de la liquidation du régime matrimonial n'avait pas été abordée avant la clôture des débats principaux, il était clair pour elle que l'appelant avait renoncé à sa conclusion, ce dont elle s'était accommodée, et que l'inaction des parties s'apparentait à une renonciation. La conclusion en liquidation prise par l'appelant était, par ailleurs, irrecevable, faute d'indication d'une valeur minimale provisoire au sens de l'art. 85 al. 1 CPC.</w:t>
      </w:r>
    </w:p>
    <w:p>
      <w:r>
        <w:rPr>
          <w:b/>
        </w:rPr>
        <w:t>E. 2.1</w:t>
      </w:r>
    </w:p>
    <w:p>
      <w:r>
        <w:t>La question de la recevabilité de la conclusion tendant à la liquidation du régime matrimonial que l'appelant a chiffrée dans ses plaidoiries finales devant le premier juge peut rester ouverte au vu de ce qui suit.</w:t>
      </w:r>
    </w:p>
    <w:p>
      <w:r>
        <w:rPr>
          <w:b/>
        </w:rPr>
        <w:t>E. 2.2</w:t>
      </w:r>
    </w:p>
    <w:p>
      <w:r>
        <w:t>La prévoyance individuelle liée - qu’il s’agisse d’un contrat d’assurance spécial de capital et de rente sur la vie ou en cas d’invalidité ou de décès, ou encore d’un contrat spécial d’épargne auprès d’une fondation bancaire (art. 1 al. 2 et 3 OPP 3) - doit être partagée selon les règles du régime matrimonial auquel sont soumis les époux (ATF 137 III 337 consid. 2.1.1; 129 III 257 consid. 3; arrêt du Tribunal fédéral 5A_339/2015 du 18 novembre 2015 consid. 10.3). Il est acquis que les parties, qui n'ont pas conclu de contrat de mariage, étaient soumises au régime légal de la participation aux acquêts (art. 181 CC). Ce régime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Les acquêts et les biens propres sont disjoints dans leur composition au jour de la dissolution du régime (art. 207 al. 1 CC), laquelle rétroagit au jour de la demande de divorce (art. 204 al. 2 CC). A la liquidation du régime matrimonial, les biens sont estimés à leur valeur vénale (art. 211 CC). Chaque époux a droit à la moitié du bénéfice de l'autre (art. 215 al. 1 CC). Les créances sont compensées (art. 215 al. 2 CC). Dans le régime ordinaire de la participation aux acquêts, la prévoyance liée constitue un élément du patrimoine de l’époux et, à ce titre, elle doit être attribuée à l’une ou à l’autre des masses; lorsque l’époux contractant n’a pas encore reçu de prestations à la dissolution du régime, la prévoyance liée, qu’il s’agisse d’un capital d’épargne bancaire ou de l’épargne sous forme d’assurance, doit être comptabilisée dans les propres et/ou les acquêts selon les règles sur le remploi (art. 197 al. 2 ch. 5 CC). Dans la phase suivante de liquidation, il faut estimer le compte d’acquêts de chaque époux afin de déterminer s’il se solde par un bénéfice ou un déficit. Si la date de la dissolution du régime est déterminante pour l’attribution des avoirs de prévoyance à l’une ou l’autre masse, l’estimation des actifs du compte d’acquêts aura lieu, en règle générale, à l’époque de la liquidation (art. 214 al. 1 CC). En cas de procédure judiciaire, il s’agit du jour où le jugement est rendu.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 Appliqués aux avoirs de prévoyance liée, ces principes signifient que les revenus d’avoirs qui sont postérieurs à la dissolution du régime matrimonial ne modifient pas la valeur des actifs ou des passifs du compte d’acquêts. En d’autres termes, les intérêts d’un compte bancaire ou d’une assurance-vie postérieurs à la dissolution n’augmentent pas la valeur d’estimation de ces biens; ils ne peuvent être pris en considération en raison de l’interdiction de modifier la composition des acquêts. En outre, si des primes sont versées pour l’assurance-vie - au moyen d’acquêts - entre la dissolution et la liquidation, la valeur de rachat va augmenter. Il ne sera donc pas tenu compte de ces primes et de la nouvelle valeur de rachat dans l’estimation des masses déterminantes. En revanche, les fluctuations de valeur des avoirs de prévoyance liée intervenues entre la dissolution et la liquidation doivent être prises en considération pour l’estimation du compte d’acquêts (arrêt du Tribunal fédéral 5A_339/2015 précité et les réf. cit.). Celui qui élève une prétention dans la liquidation du régime matrimonial doit prouver que la valeur patrimoniale qu'il convoite faisait partie du patrimoine visé au moment de la dissolution du régime matrimonial (ATF 118 II 27 consid. 2 à 4; arrêt du Tribunal fédéral 5C.66/2002 du 15 mai 2003 consid. 2.4.2).</w:t>
      </w:r>
    </w:p>
    <w:p>
      <w:r>
        <w:rPr>
          <w:b/>
        </w:rPr>
        <w:t>E. 2.3</w:t>
      </w:r>
    </w:p>
    <w:p>
      <w:r>
        <w:t>Lorsque la maxime des débats est applicable, les parties allèguent les faits sur lesquels elles fondent leurs prétentions et produisent les preuves qui s'y rapportent (art. 55 al. 1 CPC). Les règles de la bonne foi (art. 2 CC et art. 52 CPC) obligent la partie adverse à coopérer à la procédure probatoire (ATF 119 II 305 consid. 1b/aa) et le tribunal tient compte du refus de collaborer lors de l'appréciation des preuves (art. 164 CPC; arrêts du Tribunal fédéral 5A_730/2013 du 24 avril 2014 consid. 6.2 et 4A_257/2014 du 29 septembre 2014 consid. 3.5). L'art. 164 CPC ne précise toutefois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ATF 140 III 264 consid. 2.3).</w:t>
      </w:r>
    </w:p>
    <w:p>
      <w:r>
        <w:rPr>
          <w:b/>
        </w:rPr>
        <w:t>E. 2.4</w:t>
      </w:r>
    </w:p>
    <w:p>
      <w:r>
        <w:t>En l'espèce, l'appelant a conclu en première instance à ce que l'intimée soit condamnée à lui verser la somme de 7'232 fr. 50 à titre de soulte résultant de différence entre la valeur de ses avoirs de troisième pilier A (29'535 fr.) et la valeur estimée de l'assurance-vie de son ex-épouse (44'000 fr. estimés sur la base des versements annuels de 4'000 fr. effectués depuis 2007). La composition du patrimoine des époux en vue de la liquidation de leur régime matrimonial doit être arrêtée à la date du dépôt de la demande en divorce, soit au 29 septembre 2020. L'intimée n'ayant pas produit de document attestant de la valeur de rachat de son assurance-vie (laquelle ne correspond pas nécessairement au cumul des cotisations versées), le Tribunal n'a pas outrepassé son pouvoir d'appréciation en retenant, au vu du défaut de collaboration de cette dernière, qu'il était plausible que cette valeur s'élève à 44'000 fr. S'agissant de l'appelant, malgré la requête de production de pièce de l'intimée, il n'a produit qu'un état financier de ses avoirs de prévoyance liée au 31 décembre 2018, de sorte que le montant de ses avoirs à la date du 20 septembre 2020 n'est pas connu, puisque ses avoirs auraient pu faire l'objet d'apports de sa part ou être crédités d'éventuels intérêts positifs. Compte tenu de son défaut de renseignement, l'appelant n'a pas établi qu'il pourrait prétendre au versement d'une soulte résultant de la différence entre ces deux postes d'acquêts. Il en résulte que les chiffres 6 et 7 du dispositif du jugement entrepris seront annulés et qu'il sera dit que le régime matrimonial des parties est liquidé et qu'elles n'ont plus aucune prétention à faire valoir l'une contre l'autre à ce titre.</w:t>
      </w:r>
    </w:p>
    <w:p>
      <w:r>
        <w:rPr>
          <w:b/>
        </w:rPr>
        <w:t>E. 3</w:t>
      </w:r>
    </w:p>
    <w:p>
      <w:r>
        <w:t>L'appelant remet en cause le principe des contributions à l'entretien de l'intimée et de C______.</w:t>
      </w:r>
    </w:p>
    <w:p>
      <w:r>
        <w:rPr>
          <w:b/>
        </w:rPr>
        <w:t>E. 3.1</w:t>
      </w:r>
    </w:p>
    <w:p>
      <w:r>
        <w:t>La loi ne prescrit pas de méthode de calcul particulière pour arrêter la quotité d'une contribution d'entretien. Sa fixation relève de l'appréciation du juge, qui jouit d'un large pouvoir d'appréciation et applique les règles du droit et de l'équité (art. 4 CC; ATF 140 III 337 consid. 4.2.2; 134 III 577 consid. 4; 128 III 411 consid. 3.2.2). Récemment, dans trois arrêts publiés (ATF 147 III 265 , in SJ 2021 I 316; ATF 147 III 293 ; ATF 147 III 301 ), le Tribunal fédéral a posé, pour toute la Suisse, une méthode de calcul uniforme des contributions d'entretien du droit de la famille, soit la méthode du minimum vital avec répartition de l'excédent (dite en deux étapes).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d'assurance-maladie complémentaires.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ss, n. 140 p. 102; ACJC/456/2022 consid. 4.1.3). Lors de la détermination des besoins – élargis – de l'enfant, il s'agit de prendre en compte la contribution d'entretien de l'enfant (revenu de l'enfant) imposable au crédirentier ou à la crédirentière (art. 3 al. 3 LHID et 285 al. 2 CC) par rapport au revenu total imposable du parent bénéficiaire et la part de l'obligation fiscale totale du crédirentier ou de la crédirentière qui en découle. Si, par exemple, le revenu attribuable à l'enfant représente 20% du revenu du foyer fiscal, la même proportion de la dette fiscale totale du crédirentier ou de la crédirentière doit être incluse dans les besoins de l'enfant et, par conséquent, seule la différence doit être incluse dans les besoins du crédirentier ou de la crédirentière (ATF 147 III 457 consid. 4.2.3.5). Le ou les débiteurs d'aliments doivent toujours disposer de leur propre minimum vital en vertu de la loi sur les poursuites. Dans la mesure où le minimum vital des parents et des enfants mineurs prévu par le droit de la famille et adapté aux circonstances est couvert, l'excédent, déduction faite d'un taux d'épargne prouvé (ATF 140 III 485 consid. 3.3), doit être réparti à raison d'une part d'excédent pour l'enfant (" petite tête ") et de deux parts pour les adultes (" grandes têtes ") (ATF 147 III 265 consid. 7.3). Cela étant, en cas de situation financière nettement supérieure à la moyenne, la part d'excédent calculée de l'enfant doit être limitée ou réduite au niveau de vie vécu avant la séparation, pour des raisons éducatives, indépendamment du train de vie mené par les parents (ATF 147 III 265 consid. 7.3; 147 III 457 consid. 5.2). L'entretien de l'enfant majeur est limité au minimum vital du droit de la famille; celui-ci n'a pas le droit à une part de l'excédent (ATF 147 III 265 consid. 7.2; arrêts du Tribunal fédéral 5A_52/2021 du 29 octobre 2021 consid. 7.2; 5A_1072/2020 du 25 août 2021 consid. 8.4).</w:t>
      </w:r>
    </w:p>
    <w:p>
      <w:r>
        <w:rPr>
          <w:b/>
        </w:rPr>
        <w:t>E. 3.2</w:t>
      </w:r>
    </w:p>
    <w:p>
      <w:r>
        <w:t>Le revenu d'un indépendant est constitué par son bénéfice net, à savoir la différence entre les produits et les charges (arrêts 5A_621/2013 du 20 novembre 2014 consid. 3.3.1 non publié in ATF 141 III 53 ; 5A_259/2012 du 14 novembre 2012 consid. 4.1).</w:t>
      </w:r>
    </w:p>
    <w:p>
      <w:r>
        <w:rPr>
          <w:b/>
        </w:rPr>
        <w:t>E. 3.3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Auparavant, la jurisprudence considérait que l'on ne devait en principe plus exiger d'un époux qui n'avait pas exercé d'activité lucrative pendant un mariage de longue durée de se réinsérer dans la vie économique, lorsqu'il était âgé de 45 ans au moment de la séparation, limite d'âge qui tendait à être augmentée à 50 ans (ATF 137 III 102 consid. 4.2.2.2; arrêt du Tribunal fédéral 5A_745/2019 du 2 avril 2020 consid. 3.2.1). Le Tribunal fédéral a récemment abandonné la " règle des 45 ans ", considérant que l'âge n'avait plus une signification abstraite détachée des autres facteurs à prendre en considération dans l'examen portant sur la reprise d'une activité lucrative. Seul un examen concret entre désormais en considération, basé sur les critères tels que l'âge, la santé, les connaissances linguistiques, l'éducation et la formation passées et futures, les activités antérieures, la flexibilité personnelle et géographique et la situation sur le marché du travail (ATF 147 III 308 consid. 5.5 et 5.6, in SJ 2021 I p. 328 ss.). Il peut être attendu du parent se consacrant à la prise en charge des enfants qu'il recommence à travailler, en principe,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 er novembre 2018 consid. 3.1.2).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5A_184/2015 du 22 janvier 2016 consid. 3.2).</w:t>
      </w:r>
    </w:p>
    <w:p>
      <w:r>
        <w:rPr>
          <w:b/>
        </w:rPr>
        <w:t>E. 3.4</w:t>
      </w:r>
    </w:p>
    <w:p>
      <w:r>
        <w:t>Les dettes qui occasionnent une saisie de salaire sont écartées puisque le débiteur pourra requérir la révision de la saisie en invoquant ses nouvelles obligations d'entretien (Bastons Bulletti, L'entretien après divorce : Méthodes de calcul, montant, durée et limites, in SJ 2007 II 77, p.90; arrêt du Tribunal fédéral 5C.77/2001 du 6 septembre 2001 consid. 2d/dd; ACJC/1218/2021 du 16 septembre 2021 consid. 3.1.4).</w:t>
      </w:r>
    </w:p>
    <w:p>
      <w:r>
        <w:rPr>
          <w:b/>
        </w:rPr>
        <w:t>E. 3.5</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La date de l'entrée en force du prononcé du divorce correspond au jour du dépôt de la réponse de la partie intimée, avec ou sans appel incident (ATF 132 III 401 consid. 2.2; 130 III 297 consid. 3.3.2).</w:t>
      </w:r>
    </w:p>
    <w:p>
      <w:r>
        <w:rPr>
          <w:b/>
        </w:rPr>
        <w:t>E. 3.6</w:t>
      </w:r>
    </w:p>
    <w:p>
      <w:r>
        <w:t>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(ATF 132 III 209 consid. 2.3; arrêt du Tribunal fédéral 5A_36/2016 du 29 mars 2016 consid. 4.1).</w:t>
      </w:r>
    </w:p>
    <w:p>
      <w:r>
        <w:rPr>
          <w:b/>
        </w:rPr>
        <w:t>E. 3.7</w:t>
      </w:r>
    </w:p>
    <w:p>
      <w:r>
        <w:t>S'agissant du dies a quo des contributions d'entretien sur divorce, il sera fixé au 1 er octobre 2021 compte tenu du prononcé de mesures provisionnelles et du fait nouveau concernant la situation financière de l'appelant (licenciement avec effet au 30 septembre 2021). Il convient d'évaluer la situation financière respective des parties et de leur enfant cadet dès cette date et de tenir compte de leurs charges selon le droit de la famille au vu de leurs revenus.</w:t>
      </w:r>
    </w:p>
    <w:p>
      <w:r>
        <w:rPr>
          <w:b/>
        </w:rPr>
        <w:t>E. 4</w:t>
      </w:r>
    </w:p>
    <w:p>
      <w:r>
        <w:t>S'agissant de l'entretien en faveur de l'intimée, l'appelant fait valoir qu'en application du clean break , son épouse est en mesure d'acquérir son indépendance économique et de subvenir à ses propres besoins après le divorce et, subsidiairement, que sa propre situation financière ne lui permet pas de pourvoir à l'entretien de celle-ci.</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Une contribution pourrait être due si le mariage a eu un impact décisif sur la vie de l'époux créancier et a concrètement influencé la situation financière de ce dernier (" lebensprägend ").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 lebensprägend ". Selon la nouvelle définition du Tribunal fédéral, un mariage est considéré comme étant " lebensprägend "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(ATF 147 III 249 consid. 3.4.3 et 3.4.6).</w:t>
      </w:r>
    </w:p>
    <w:p>
      <w:r>
        <w:rPr>
          <w:b/>
        </w:rPr>
        <w:t>E. 4.2</w:t>
      </w:r>
    </w:p>
    <w:p>
      <w:r>
        <w:t>Si le principe d'une contribution d'entretien post-divorce est admis, il convient de procéder en trois étapes pour en arrêter la quotité (ATF 137 III 102 consid. 4.2 et les références citées).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du 5 juillet 2021 consid. 12.1 et les réf. cit.).</w:t>
      </w:r>
    </w:p>
    <w:p>
      <w:r>
        <w:rPr>
          <w:b/>
        </w:rPr>
        <w:t>E. 4.3</w:t>
      </w:r>
    </w:p>
    <w:p>
      <w:r>
        <w:t>En l'espèce, l'intimée, âgée de 47 ans, n'a pas exercé d'activité lucrative durant les premières années de la vie commune, qui a duré plus de 16 ans. Dès juillet 2006, elle a travaillé en qualité d'assistante de gestion dans le domaine de la finance et ce, jusqu'en juin 2012, puis dès mai 2013 jusqu'à une date indéterminée à un temps d'activité plein, qu'elle a progressivement réduit à 50%, alors que l'appelant travaillait à temps plein. Il convient, ainsi, de retenir, au vu de la durée de la vie commune et de la répartition des tâches adoptées par les parties, que le mariage a eu une influence sur la situation financière de l'intimée, de sorte que, sur le principe, elle pourrait prétendre à une contribution d'entretien post-divorce.</w:t>
      </w:r>
    </w:p>
    <w:p>
      <w:r>
        <w:rPr>
          <w:b/>
        </w:rPr>
        <w:t>E. 4.4</w:t>
      </w:r>
    </w:p>
    <w:p>
      <w:r>
        <w:t>Les charges selon le droit de la famille de l'intimée s'élèvent à 4'747 fr. par mois, hors impôts, comprenant sa part du loyer (70% de 3'200 fr., soit 2'240 fr.), la prime d'assurance-maladie (545 fr.), les frais médicaux non remboursés (187 fr.), la prime d'assurance-ménage (42 fr.), la prime d'assurance-vie (333 fr., non contestés), les frais de vacances et de loisirs (en principe couverts par l'excédent, mais admis à hauteur de 50 fr.) et le montant de base OP (1'350 fr.), à l'exclusion des frais de massage (devant être couverts par l'excédent), de la contribution d'entretien en faveur du grand-père (laquelle ne repose pas sur une obligation d'entretien constatée judiciairement) et des frais pour un véhicule (dont la nécessité n'est pas établie, étant relevé que des frais de transports publics n'ont pas été allégués en appel). S'agissant de sa capacité contributive, il ressort des pièces produites que cette dernière a perçu, en dernier lieu, un salaire brut de 5'000 fr. par mois pour son activité à 50% dans la finance, équivalant à un salaire net d'environ 8'300 fr. pour une activité à 100%. Après une période sans emploi, elle a débuté une activité indépendante de coach sportive en 2016. Se référant à l'arrêt ACJC/1600/2019 , le Tribunal a retenu que cette activité lui procurait des revenus de 4'200 fr. par mois et qu'il n'y avait pas lieu de lui imputer un revenu hypothétique plus élevé compte tenu de la nature et du redémarrage de son activité à la suite de la pandémie. L'appelante ne conteste pas ce montant, étant relevé que, contrairement à ce qu'elle allègue, ses charges professionnelles sont intégrées dans ses pièces comptables. Or, comme la Cour l'a déjà relevé dans le cadre des mesures protectrices, le bénéfice net ressortant des pièces comptables ne correspond pas au montant qu'elle perçoit effectivement. Dans la présente procédure, elle n'a pas clarifié plus avant sa situation financière, se contentant de produire ses pièces comptables attestant d'un bénéfice net inférieur à 4'200 fr., ainsi que quelques contrats de coaching, et d'alléguer procéder à l'ensemble des encaissements en espèces. Il apparaît ainsi que la situation financière de l'intimée n'est pas transparente. Par ailleurs, si l'ex-épouse a certes entrepris cette reconversion professionnelle avec l'accord de son conjoint durant la vie commune, les parties se sont séparées en janvier 2018. Celle-ci a donc disposé de plus de 4 ans pour évaluer sa situation financière et prendre les mesures nécessaires pour mettre en œuvre sa pleine capacité contributive (à hauteur de 80%, puis de 100% dès les 16 ans de C______ en ______ 2019) afin de d'acquérir son indépendance économique. En poursuivant dans son activité d'indépendante pour une activité équivalant, selon, elle, à un taux plein qui ne lui permet pas de couvrir ses charges, il apparaît que l'intimée a volontairement renoncé à des ressources et qu'elle n'a pas entrepris toutes les démarches que l'on pouvait attendre d'elle pour subvenir à ses besoins. Au vu de ce qui précède, un salaire hypothétique lui sera imputé à hauteur de son dernier salaire dans la finance, soit environ 8'300 fr. par mois pour une activité à temps plein. Compte tenu du temps dont elle a disposé depuis la séparation, il ne lui sera pas accordé de délai supplémentaire, de sorte qu'il sera tenu compte de ce montant dès le 1 er octobre 2021. L'intimée dispose, ainsi, d'un solde disponible - hors impôts - d'environ 3'550 fr. par mois dès le 1 er octobre 2021, lui permettant de couvrir ses loisirs et ses impôts, de sorte qu'une contribution d'entretien ne se justifie pas. Partant, le chiffre 4 du dispositif du jugement entrepris sera annulé.</w:t>
      </w:r>
    </w:p>
    <w:p>
      <w:r>
        <w:rPr>
          <w:b/>
        </w:rPr>
        <w:t>E. 5</w:t>
      </w:r>
    </w:p>
    <w:p>
      <w:r>
        <w:t>En ce qui concerne l'entretien de C______, l'appelant soutient que la situation financière de chacun a été mal évaluée et que son fils sera en mesure de couvrir ses charges au moyen de ses indemnités militaires.</w:t>
      </w:r>
    </w:p>
    <w:p>
      <w:r>
        <w:rPr>
          <w:b/>
        </w:rPr>
        <w:t>E. 5.1</w:t>
      </w:r>
    </w:p>
    <w:p>
      <w:r>
        <w:t>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w:t>
      </w:r>
    </w:p>
    <w:p>
      <w:r>
        <w:rPr>
          <w:b/>
        </w:rPr>
        <w:t>E. 5.2</w:t>
      </w:r>
    </w:p>
    <w:p>
      <w:r>
        <w:t>En vertu de l'art. 277 al. 2 CC, l'obligation d'entretien des père et mère dure jusqu'à la majorité de l'enfant. Le juge peut cependant fixer la contribution d'entretien de l'enfant pour une période allant au-delà de l'accès à la majorité (art. 133 al. 3 CC). Dans le procès en divorce, le parent détenteur de l'autorité parentale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Celui-ci doit par conséquent être consulté; cela suppose que l'existence de l'action en divorce et les conclusions prises contre l'autre parent pour son entretien après son accès à la majorité lui soient communiquées. Si l'enfant devenu majeur approuve - même tacitement - les prétentions réclamées, le procès est poursuivi par le parent qui détenait l'autorité parentale, le dispositif du jugement devant toutefois énoncer que les contributions d'entretien seront payées en mains de l'enfant (arrêt du Tribunal fédéral 5A_679/2019 du 5 juillet 2021 consid. 10.3.1 et les réf. cit.).</w:t>
      </w:r>
    </w:p>
    <w:p>
      <w:r>
        <w:rPr>
          <w:b/>
        </w:rPr>
        <w:t>E. 5.3</w:t>
      </w:r>
    </w:p>
    <w:p>
      <w:r>
        <w:t>En l'occurrence, C______ a dûment consenti aux conclusions relatives à son entretien prises par sa mère dans la présente procédure. La situation financière de l'appelant et de son fils est la suivante :</w:t>
      </w:r>
    </w:p>
    <w:p>
      <w:r>
        <w:rPr>
          <w:b/>
        </w:rPr>
        <w:t>E. 5.3.1</w:t>
      </w:r>
    </w:p>
    <w:p>
      <w:r>
        <w:t>L'appelant, âgé de 52 ans, employé au sein de la banque F______ SA pendant près de quinze ans, a été licencié le 22 juin 2021 avec effet au 30 septembre 2021. De cette activité, il a perçu un salaire net de 13'880 fr. 75 en 2020; il n'a produit aucune pièce concernant l'année 2021. Il a allégué avoir perçu une indemnité de départ (avec laquelle il se serait acquitté de certaines dettes), s'agissant de laquelle il n'a articulé aucun montant et n'a produit aucune pièce. Il a bénéficié d'indemnités-chômage nettes à hauteur de 194 fr. 10 en octobre 2021 (1 jour d'indemnité journalière nette compte tenu du délai d'attente de 20 jours conformément à l'art. 37 OACI), de 8'764 fr. 80 en novembre 2021 (moins une " déduction tiers Office des poursuites " de 4'000 fr. 90) et de 9'163 fr. 20 en décembre 2021 (moins une " déduction tiers Office des poursuites " de 4'367 fr. 90). L'appelant n'ayant pas renseigné la Cour sur le montant de l'indemnité de départ qu'il a perçue et l'utilisation qu'il en a faite, il sera retenu qu'elle lui a permis de maintenir des revenus de 13'880 fr. pour le mois d'octobre 2021. Dès novembre 2021, ses indemnités-chômage peuvent être estimées à environ 8'960 fr. (moyenne entre novembre et décembre 2021), étant relevé qu'il n'est pas tenu compte de la saisie conformément au principe susmentionné. S'il apparaît certes que les chances de l'appelant de retrouver un emploi dans le milieu bancaire semblent faibles au vu de sa situation, il sera néanmoins retenu qu'au vu de son expérience tant dans le domaine informatique que de la finance, il devrait être en mesure de retrouver un emploi dans ces secteurs d'activité, qui pourrait lui procurer un salaire mensuel net d'au moins 10'000 fr. Ce montant lui sera imputé après un délai d'environ une année depuis son inscription au chômage, soit dès le 12 novembre 2022 par souci de simplification. Les charges selon le droit de la famille de l'appelant se montent à 3'704 fr. par mois, hors impôts, comprenant le loyer (1'839 fr. 95), la prime d'assurance-maladie (483 fr. 55), les frais médicaux non remboursés (121 fr. 90), les frais de fitness (59 fr., non contestés) et le montant de base selon les normes OP (1'200 fr.), à l'exclusion des frais pour un véhicule, dont la nécessité n'est pas démontrée. Déduction faite de son obligation d'entretien à l'égard de D______ - fixée sur mesures protectrices et qui n'a pas fait l'objet d'une procédure de modification - l'appelant dispose d'un montant disponible - hors impôts - de l'ordre de 8'000 fr. par mois en octobre 2021, de 3'255 fr. entre le 1 er novembre 2021 et le 11 novembre 2022, puis d'au moins 4'300 fr. dès le 12 novembre 2022.</w:t>
      </w:r>
    </w:p>
    <w:p>
      <w:r>
        <w:rPr>
          <w:b/>
        </w:rPr>
        <w:t>E. 5.3.2</w:t>
      </w:r>
    </w:p>
    <w:p>
      <w:r>
        <w:t>Quant à C______, qui effectue son service militaire long entre le 17 janvier et le 11 novembre 2022, il a droit à des allocations pour perte de gains d'un montant 1'240 fr. (62 fr. x 20 jours par mois soldés à l'armée; www.vtg.admin.ch/fr/mon-service-militaire/militaires/sold-eo.html#apg). Il ne peut plus prétendre aux allocations pour études durant cette période, mais pourra à nouveau en bénéficier lors de la reprise de ses études à la fin de son service militaire. Ses charges selon le droit de la famille peuvent être arrêtées à 1'980 fr. entre le 1 er octobre 2021 et le 31 décembre 2021, à environ 2'253 fr. entre le 1 er et le 16 janvier 2022, à 1881 fr. entre le 17 janvier et le 11 novembre 2022, puis à 2'253 dès le 12 novembre 2022, comprenant sa part du loyer (15% de 3'200 fr., soit 480 fr.), la prime d'assurance-maladie (184 fr., puis 457 fr. 05 dès janvier 2022), les frais médicaux non remboursés (80 fr.), les frais de transports publics (45 fr.), les cours de piano ([240 fr. + 320 fr. + 3'080 fr.] / 12 mois = 303 fr. non contestés sur le principe par le père et dont il sera tenu compte hormis durant le service militaire, la possibilité de poursuivre cette activité n'étant alors pas établie), les frais de fitness (69 fr., non contestés, dont il sera tenu compte hormis durant le service militaire pour le même motif qui précède), les frais pour les vacances (admis à hauteur de 50 fr.), la prime d'assurance-vie (169 fr., non contestés) et le montant de base OP (600 fr.), à l'exclusion de l'argent de poche compris dans le montant de base et des " loisirs ", couverts par l'excédent, auquel il n'a plus le droit depuis sa majorité. C______ fait, ainsi, face à un déficit mensuel - hors impôts - de 1'580 fr. entre le 1 er octobre 2021 et le 31 décembre 2021, de 1'853 fr. entre le 1 er janvier 2022 et le 16 janvier 2022, de 641 fr. entre le 17 janvier 2022 et le 11 novembre 2022, puis de 1'853 fr. dès le 12 novembre 2022, ces montants pouvant être arrondis respectivement à environ 1'700 fr., 2'000 fr., 800 fr. et 2'000 fr. afin de couvrir sa charge fiscale.</w:t>
      </w:r>
    </w:p>
    <w:p>
      <w:r>
        <w:rPr>
          <w:b/>
        </w:rPr>
        <w:t>E. 5.3.3</w:t>
      </w:r>
    </w:p>
    <w:p>
      <w:r>
        <w:t>Au vu de ce qui précède, en particulier du disponible de chacun des parents, les frais d'entretien de C______ seront entièrement mis à la charge du père pour le mois d'octobre 2021, puis à raison de la moitié à la charge de chacun des parents dès le 1 er novembre 2021. Par conséquent, le chiffre 5 du dispositif du jugement entrepris sera annulé et l'appelant condamné à verser une contribution mensuelle à l'entretien de C______ de 1'700 fr. pour le mois d'octobre 2021, de 850 fr. entre le 1 er novembre 2021 et le 31 décembre 2021, de 1'000 fr. entre le 1 er janvier 2022 et le 16 janvier 2022, de 400 fr. entre le 17 janvier 2022 et le 11 novembre 2022, puis de 1'000 fr. dès le 12 novembre 2022.</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6.1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30 RTFMC), le jugement entrepris sera confirmé sur ce point.</w:t>
      </w:r>
    </w:p>
    <w:p>
      <w:r>
        <w:rPr>
          <w:b/>
        </w:rPr>
        <w:t>E. 6.2</w:t>
      </w:r>
    </w:p>
    <w:p>
      <w:r>
        <w:t>Les frais judiciaires de la procédure d'appel sont fixés à 2'500 fr. (art. 30 et 35 RTFMC), entièrement couverts par les avances de frais de 1'250 fr. opérées par chacune des parties, lesquelles demeurent entièrement acquises à l'Etat (art. 111 al. 1 CPC). Pour des motifs d'équité liés à la nature et à l'issue du litige, ils seront répartis à parts égales entre les parties (art. 95, 104 al. 1, 105, 106 al. 1, 106 al. 2 et 107 al. 1 let. c CPC). Pour les mêmes motifs, chaque partie supportera ses propres dépens (art. 107 al. 1 let. c. CPC). * * * * * PAR CES MOTIFS, La Chambre civile : A la forme : Déclare recevable l'appel interjeté le 1 er septembre 2021 par A______ contre les chiffres 4 et 5 du dispositif du jugement JTPI/8473/2021 rendu le 25 juin 2021 par le Tribunal de première instance dans la cause C/19112/2020-8. Déclare recevable l'appel joint interjeté le 11 novembre 2021 par B______ contre les chiffres 6 et 7 du dispositif dudit jugement. Au fond : Annule les chiffres 4 à 7 du dispositif du jugement entrepris et, statuant à nouveau : Condamne A______ à verser en mains de C______, par mois et d'avance, allocations d'études non comprises, une contribution à son entretien de 1'700 fr. pour le mois d'octobre 2021, de 850 fr. entre le 1 er novembre 2021 et le 31 décembre 2021, de 1'000 fr. entre le 1 er janvier 2022 et le 16 janvier 2022, de 400 fr. entre le 17 janvier 2022 et le 11 novembre 2022, puis de 1'000 fr. dès le 12 novembre 2022. Dit que le régime matrimonial de A______ et de B______ est liquidé et qu'ils n'ont plus aucune prétention à faire valoir l'un contre l'autre à ce titre. Déboute les parties de toutes autres conclusions. Sur les frais : Arrête les frais judiciaires d'appel à 2'500 fr., les met à la charge des parties par moitié chacune et dit qu'ils sont compensés par les avances de frais de 1'250 fr. fournies par chacune des parties, lesquelles demeurent entièrement acquises à l'Etat. Dit que chaque partie supporte ses propres dépens d'appel. Siégeant : Madame Ursula ZEHETBAUER GHAVAMI,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