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C/18685/2014 vom 3. April 2018</w:t>
      </w:r>
    </w:p>
    <w:p>
      <w:r>
        <w:t>GE Cour de justice, 2018-04-03, FR</w:t>
      </w:r>
    </w:p>
    <w:p>
      <w:r>
        <w:rPr>
          <w:b/>
        </w:rPr>
        <w:t xml:space="preserve">Quelle: </w:t>
      </w:r>
      <w:r>
        <w:t>https://mcp.opencaselaw.ch/entscheid/ge_gerichte_C_18685_2014</w:t>
      </w:r>
    </w:p>
    <w:p>
      <w:r>
        <w:t>FR: GE_GERICHTE C/18685/2014 du 3 avril 2018</w:t>
      </w:r>
    </w:p>
    <w:p>
      <w:r>
        <w:t>IT: GE_GERICHTE C/18685/2014 del 3 aprile 2018</w:t>
      </w:r>
    </w:p>
    <w:p>
      <w:pPr>
        <w:pStyle w:val="Heading2"/>
      </w:pPr>
      <w:r>
        <w:t>Regeste</w:t>
      </w:r>
    </w:p>
    <w:p>
      <w:r>
        <w:t>EFFET SUSPENSIF ; ENFANT ; DROIT DE GARDE ; PLACEMENT D'ENFANTS DANS UNE INSTITUTION | CPC.315.al4</w:t>
      </w:r>
    </w:p>
    <w:p>
      <w:pPr>
        <w:pStyle w:val="Heading2"/>
      </w:pPr>
      <w:r>
        <w:t>Erwägungen</w:t>
      </w:r>
    </w:p>
    <w:p>
      <w:r>
        <w:rPr>
          <w:b/>
        </w:rPr>
        <w:t>E. 8</w:t>
      </w:r>
    </w:p>
    <w:p>
      <w:r>
        <w:t>novembre 2012 consid. 3.3.2); Qu'en l'espèce, depuis le mois de mars 2017, un droit de visite d'un week-end sur deux, de la moitié des jours fériés et des vacances scolaires a été mis en place; que, toutefois, l'adolescente a parfois passé plus de temps chez son père; Qu'à la suite d'une dispute survenue le 10 octobre 2017 entre A______ et le compagnon de sa mère, elle est allée vivre chez son père; qu'elle voit depuis lors régulièrement sa mère et son petit frère, durant la journée; Que l'appelante a requis du Tribunal, à la suite de cet épisode, l'établissement d'un rapport d'expertise complémentaire; Que selon les conclusions du rapport d'expertise du 27 septembre 2017, fondées sur la prémisse erronée selon laquelle l'autorité parentale était attribuée à la mère, il n'existait pas de raison immédiate à prononcer un retrait de garde et le placement de l'adolescente en foyer; qu'il a retenu que si le cadre ne devait pas tenir durant les six mois suivants, un placement pourrait être envisagé; Que le dernier rapport du SPMi date du mois de mars 2017, soit d'une année, et que le rapport d'expertise a été rendu en septembre 2017, soit il y a six mois; Que l'adolescente est opposée à son placement en foyer; Qu'elle va réintégrer le G______ la semaine prochaine; Qu'il ne résulte pas de la procédure que la garde de fait exercée par le père mettrait en péril le bien de l'adolescente; Que les appels ne sont pas a priori manifestement voués à l'échec; Que, dans ces circonstances, il convient, conformément à la jurisprudence rappelée ci-avant, de maintenir le statu quo, afin de garantir une certaine stabilité à A______ et de ne pas lui imposer des changements successifs; Qu'en conséquence, les requêtes d'effet suspensif seront admises; Qu'il sera statué sur les frais et dépens de l'incident avec la décision au fond (art. 104 al. 3 CPC); Que la présente décision, de nature incidente, est susceptible d'un recours en matière civile au Tribunal fédéral, dans les limites des art. 93 et 98 LTF. * * * * * PAR CES MOTIFS, La Chambre civile : Statuant sur suspension de l'exécution : Suspend l'effet exécutoire attaché à l'ordonnance OTPI/108/2018 rendue le 16 février 2018 par le Tribunal de première instance dans la cause C/18685/2014-11. Dit qu'il sera statué sur les frais et dépens de la présente décision avec la décision sur le fond. Siégeant : Madame Nathalie LANDRY-BARTHE, présidente ad interim; Madame Camille LESTEVEN, greffière. La présidente : Nathalie LANDRY-BARTHE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