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C/18490/2012 vom 13. März 2014</w:t>
      </w:r>
    </w:p>
    <w:p>
      <w:r>
        <w:t>GE Cour de justice, 2014-03-13, FR</w:t>
      </w:r>
    </w:p>
    <w:p>
      <w:r>
        <w:rPr>
          <w:b/>
        </w:rPr>
        <w:t xml:space="preserve">Quelle: </w:t>
      </w:r>
      <w:r>
        <w:t>https://mcp.opencaselaw.ch/entscheid/ge_gerichte_C_18490_2012</w:t>
      </w:r>
    </w:p>
    <w:p>
      <w:r>
        <w:t>FR: GE_GERICHTE C/18490/2012 du 13 mars 2014</w:t>
      </w:r>
    </w:p>
    <w:p>
      <w:r>
        <w:t>IT: GE_GERICHTE C/18490/2012 del 13 marzo 2014</w:t>
      </w:r>
    </w:p>
    <w:p>
      <w:pPr>
        <w:pStyle w:val="Heading2"/>
      </w:pPr>
      <w:r>
        <w:t>Regeste</w:t>
      </w:r>
    </w:p>
    <w:p>
      <w:r>
        <w:t>RÉSILIATION ABUSIVE; TORT MORAL; CERTIFICAT DE TRAVAIL | CO.335.1; CO.336.1; CO.336.2; CO.328.1; CO.330a.1</w:t>
      </w:r>
    </w:p>
    <w:p>
      <w:pPr>
        <w:pStyle w:val="Heading2"/>
      </w:pPr>
      <w:r>
        <w:t>Erwägungen</w:t>
      </w:r>
    </w:p>
    <w:p>
      <w:r>
        <w:rPr>
          <w:b/>
        </w:rPr>
        <w:t>E. 18</w:t>
      </w:r>
    </w:p>
    <w:p>
      <w:r>
        <w:t>mai 2012. k. Par courrier du 20 septembre 2012, répondant à la demande de A______, B______ a indiqué que son licenciement était justifié par ses achats pour des tiers, ses achats durant ses heures de travail et les pauses prises sans "badger". D.           a. Après une tentative de conciliation le 5 octobre 2012 qui n'a pas permis d'aboutir à un accord, A______ a expédié, le 5 novembre 2012, au Tribunal des Prud'hommes (ci-après: le Tribunal) une demande en paiement, concluant à la condamnation de B______ au versement du montant de 31'487 fr. composé d'une indemnité pour résiliation abusive de 26'487 fr. et d'une indemnité pour tort moral - A______ s'estimant victime de "mobbing" de la part de sa supérieure hiérarchique - de 5'000 fr, plus intérêts à 5% dès le 1 er juillet 2012. Il a également demandé la délivrance d'un certificat de travail mentionnant les qualificatifs qu'il avait demandé d'inclure à B______. ![endif]&gt;![if&gt; b. Le Tribunal a ordonné l'ouverture d'enquêtes. Selon les clients, ses collègues et sa supérieure hiérarchique, A______ travaillait bien, était agréable et s'entendait bien tant avec ses collègues qu'avec la clientèle. Concernant l'attitude de E______, supérieure hiérarchique de A______, J______, collègue de ce dernier et également en litige avec B______, a déclaré qu'elle se comportait différemment selon les collaborateurs. Il pensait qu'elle appréciait A______, jusqu'à ce que celui-ci prenne des distances avec elle. Depuis lors, elle lui avait confié des tâches ingrates, comme le rangement de la réserve de cartons. Elle lui avait donné des ordres contradictoires et imposé ses vacances. Selon ce témoin, ce changement d'attitude avait été provoqué par le désir d'évolution évoqué par A______ auprès de I______. Ce souhait d'évoluer et le fait que A______ connaissait un ancien patron de la société avaient indisposé E______, car elle voulait tout contrôler. K______, collègue de A______, a déclaré que E______ avait une attitude particulière à l'encontre de celui-ci. Parfois elle était très proche de lui en le prenant par le bras et parfois très lointaine. Elle a toutefois précisé ne pas avoir remarqué d'agissements particuliers de la part de E______ à l'encontre de A______. Elle avait constaté que A______ était souvent affecté au rangement de la réserve au sous-sol, tâche que personne ne voulait accomplir. Elle se souvenait que A______ s'était plaint auprès de ses collègues des agissements de E______, en particulier lorsqu'elle lui prenait le bras et qu'il les avait informés avoir demandé à être muté. L______, ancienne employée de B______, a déclaré que E______ pouvait avoir une attitude incorrecte à l'égard de A______, mais qu'il en allait de même avec d'autres collaborateurs. Elle savait que A______ était allé discuter de sa situation avec I______, mais elle n'était pas en mesure de dire si après cela l'attitude de E______ avait changé. Elle a enfin indiqué qu'il était probable que A______ se soit fait imposer la date de ses vacances par E______, car il était arrivé que des collaborateurs se soient vu déplacer leurs vacances et en aient été informés quelques jours avant. Tous les témoins collaborateurs ont déclaré que les pauses devaient être pointées. E______ a expliqué que les pauses étaient planifiées sur un document hebdomadaire, mais que parfois les collaborateurs pouvaient s'arranger pour se remplacer. Elle n'a pas été en mesure de dire si A______ avait régulièrement "badgé" ses pauses; il était possible selon elle que A______ n'ait pas pu prendre sa pause à certaines occasions, en raison de l'affluence de clients. Elle a ajouté que les courses personnelles devaient être effectuées durant les heures de repas ou de pause. En cas de faible affluence, les collaborateurs pouvaient effectuer une course personnelle en dehors des pauses, mais ils devaient "badger". H______, cheffe de la sécurité de B______, a constaté que A______ ne "badgeait" pas toutes ses pauses, sans toutefois pouvoir dire à quelle fréquence. Elle a déclaré que A______ avait pour habitude de s'absenter le matin pour faire ses courses dans le magasin. Elle avait signalé ce comportement à son supérieur, sans savoir si A______ avait reçu un avertissement. E______ a déclaré que la carte de rabais du personnel était réservée aux collaborateurs et aux personnes vivant sous le même toit. Aucune tolérance quant à l'utilisation de cette carte n'était admise. F______, directrice des ressources humaines de B______ et G______ ont certifié que A______ ne s'était jamais plaint de sa situation auprès d'eux. G______ a affirmé à ce propos que A______ n'avait jamais déposé de demande de mutation ou de promotion de même qu'il ne s'était jamais plaint de sa responsable ni auprès de lui, ni auprès des autres employés des ressources humaines. H______ et G______ ont affirmé que E______ n'avait pas été consultée préalablement à la décision de licencier A______. c. En cours de procédure, A______ a produit une expertise psychiatrique réalisée le 11 décembre 2012 à l'attention du médecin conseil de la Zurich Assurances. Se fondant sur les déclarations de A______ (anamnèse) ainsi que sur une série de tests, l'expert a constaté que A______ souffrait d'un trouble de l'adaptation avec réaction anxieuse et dépressive en rémission partielle. Ces difficultés étaient liées à l'emploi et au chômage et à la dislocation de sa famille, en raison d'une séparation. L'expert a retenu que A______ était totalement incapable de travailler du 19 mars au 31 décembre 2012, avait une capacité de travail de 50% du 1 er au 31 janvier 2013 et devait retrouver une pleine capacité de travail dès le 1 er février 2013. E.            Dans la décision querellée, le Tribunal a retenu que l'employé n'avait pas apporté la preuve du caractère abusif de son licenciement, ni d'un tort moral. Par ailleurs, le certificat de travail qui lui avait été délivré correspondait à la réalité, raison pour laquelle le Tribunal a rejeté la demande en rectification de A______. ![endif]&gt;![if&gt; EN DROIT 1.             1.1 Selon l'art. 308 CPC, l'appel est recevable contre les décisions finales et incidentes de première instance, lorsque, dans les affaires patrimoniales, la valeur litigieuse au dernier état des conclusions est de 10'000 fr. au moins.![endif]&gt;![if&gt; La valeur litigieuse était de 31'487 fr. devant l'instance précédente, de sorte que la voie de l'appel est ouverte. L'appel, écrit et motivé, est introduit auprès de l'instance d'appel dans les 30 jours à compter de la notification de la décision motivée (art. 311 al. 1 CPC). En l'espèce, l'appel, qui respecte les dispositions légales précitées, est recevable. 2.             La Cour revoit la cause avec un plein pouvoir d'examen en fait et en droit (art. 310 CPC; Hohl, Procédure civile, tome II, 2010, n. 2314 et 2416) dans les limites posées par la maximes des débats (art.55 al.1 CPC) et de disposition (art. 58 al.1 CPC) applicables à la présente cause, laquelle est régie par la procédure ordinaire (art. 243 al.1 a contrario CPC), dans la mesure où elle porte sur une cause dont la valeur litigieuse est supérieure à 30'000 fr. ![endif]&gt;![if&gt; 3.             L’appelant sollicite préalablement la production par l'intimée des fiches de pointage de ses collègues. ![endif]&gt;![if&gt; 3.1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et 374 consid. 4.3.1-4.3.2; arrêt du Tribunal fédéral 5A_906/2012 du 18 avril 2013 consid. 5.1.2). 3.2 En l'espèce, l'appelant n'explique pas en quoi la production de ces pièces nouvelles est fondamentale. La Cour s’estime par ailleurs suffisamment renseignée sur les faits tels qu'ils se sont déroulés entre la fin d'octobre 2011 et la résiliation ordinaire du contrat de travail intervenue le 24 janvier 2012 et considère qu'en tout état, les éléments de fait que l'appelant souhaiterait voir établis ne seraient pas de nature à modifier l'issue du litige au vu des considérants qui suivent (cf. infra consid. 5.2). Dès lors, il ne se justifie pas de donner une suite favorable aux mesures d'instruction requises par l'appelant. 4.             Il n'est pas contesté que les parties étaient liées par un contrat de travail au sens des articles 319 et suivants du Code des obligations. En outre, le règlement interne de B______, qui faisait partie intégrante du contrat de travail, était applicable. L'appelant est présumé en avoir eu connaissance. ![endif]&gt;![if&gt; 5.             L'appelant reproche au Tribunal de ne pas avoir retenu le caractère abusif de son licenciement, qui selon lui était un congé de représailles. ![endif]&gt;![if&gt; 5.1 Selon l'art. 335 al. 1 CO, le contrat de travail conclu pour une durée indéterminée peut être résilié par chacune des parties. En droit du travail, la liberté de la résiliation prévaut, de sorte que, pour être valable, un congé n'a en principe pas besoin de reposer sur un motif particulier. Le droit de chaque partie de mettre unilatéralement fin au contrat est toutefois limité par les dispositions sur le congé abusif au sens des art. 336 ss CO (ATF 136 III 513 consid. 2.3 p. 514; 132 III 115 consid. 2.1 p. 116). L'art. 336 al. 1 et 2 CO énumère des cas dans lesquels la résiliation est abusive; cette liste n'est pas exhaustive de sorte qu'une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 2.3 p. 514 s. et les nombreux arrêts cités).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toutefois être ni chicanière ni téméraire, car elle empêcherait alors une résiliation en elle-même admissible (arrêt du Tribunal fédéral 4C.237/2005 du 27 octobre 2005 consid. 2.2 et les références). Si le Tribunal fédéral admet que le juge peut présumer l'existence d'un congé abusif lorsque le travailleur apporte des indices suffisants pour faire apparaître comme non réel le motif de résiliation invoqué par l'employeur, il ne faut pas perdre de vue que la motivation inexacte du congé ne constitue pas en soi un motif de licenciement abusif (arrêt du Tribunal fédéral 4C.282/2006 du 1 er mars 2007 consid. 4.3; Wyler, Droit du travail, 2008, p. 534; cf. ég. ATF 130 III 699 consid. 4.1 p. 703; arrêt du Tribunal fédéral 4A_346/2009 du 20 octobre 2009 consid. 3). Pour qu'un congé soit abusif, il doit exister un lien de causalité adéquat entre le motif illicite et le licenciement. Il faut donc que le motif ait joué un rôle déterminant dans la décision de l'employeur de résilier le contrat, cette décision pouvant par ailleurs reposer sur plusieurs motifs. Lorsque plusieurs motifs de congé entrent en jeu et que l'un d'entre eux n'est pas digne de protection, il convient de déterminer, si, sans ce motif illicite, le contrat aurait tout de même été résilié (SJ 1995 p. 798); en d'autres termes, le juge doit examiner lequel des motifs en concours était le motif prédominant et déterminant pour la décision de licencier (arrêts du Tribunal fédéral 4C.262/2003 du 4 novembre 2003 consid. 3; 4P.205/2000 du 6 mars 2001 in: ARV/DTA 2001 p. 46 = JAR 2002 p. 238; Zoss, La résiliation abusive du contrat de travail, Lausanne, 1997, p. 265; Streiff/Von Kaenel, Arbeitsvertrag, Zurich, 2006, N. 20 ad art. 336 CO). 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5.2 En l'espèce, l'appelant a admis avoir pris des pauses sans les "badger". Or, il ressort du règlement interne de B______ et des témoignages que les collaborateurs de vente avaient l'obligation de "badger" toutes leurs pauses, qu'elles soient prises durant la plage horaire prévue ou non. Le fait que d'autres employés aient éventuellement omis de "badger" certaines pauses n'autorisait pas pour autant l'appelant à en faire de même. Ceci est d'autant plus vrai que lors de son évaluation du 15 novembre 2011, l'appelant avait été averti que son contrat de travail pourrait être résilié s'il persistait à prendre des pauses sans les "badger" à des heures où il était censé être à son poste de travail, reproche qu'il n'avait pas contesté. L'argumentation de l'appelant selon laquelle une organisation souple des pauses n'impliquait pas de les "badger" tombe dès lors à faux. L'appelant a par ailleurs reconnu avoir fait profiter des tiers de sa carte de rabais du magasin, en achetant notamment soixante-trois montres entre 2008 et 2012. Or le règlement de l'intimée, dont le recourant a admis avoir pris connaissance par l'apposition de sa signature sur le contrat de travail, est clair en ce qui concerne l'utilisation de cette carte, qui doit bénéficier exclusivement aux collaborateurs et aux personnes vivant au sein du même foyer que ceux-ci. Certains témoins ont certes indiqué que plusieurs collaborateurs utilisent leur carte au profit de tiers. Il n'a toutefois pas été établi qu'il s'agit là d'une pratique généralisée, connue de B______ et tolérée par celle-ci. Dès lors, le fait que d'autres employés aient pu violer le règlement n'autorisait pas A______ à s'en écarter, ce d'autant plus que les achats qu'il a opérés au profit de tiers au moyen de sa carte du magasin n'apparaissent pas négligeables. Les reproches adressés à A______ au moment de son licenciement étaient dès lors fondés. 5.3 Il appartenait au recourant d'apporter des éléments faisant apparaître comme non réels les motifs avancés par B______ à l'appui de son licenciement et permettant de retenir que le congé était en réalité un congé de représailles. Or, le recourant n'a pas été en mesure d'établir, ni même de rendre vraisemblable, qu'il se serait plaint du comportement adopté par sa supérieure hiérarchique auprès du service des ressources humaines, ce qui aurait entraîné la rupture de son contrat de travail. L'existence de telles doléances paraît d'autant moins crédible que trois mois avant son licenciement, soit le 22 octobre 2011, A______ mentionnait sur son compte rendu d'évaluation le fait que l'atmosphère et le cadre de travail étaient "superbes" et qu'il existait une bonne entente entre les collaborateurs et la supérieure hiérarchique. L'appelant n'est pas davantage parvenu à établir, ni à rendre vraisemblable, que sa supérieure hiérarchique aurait été agacée par le désir qu'il avait manifesté auprès de I______ d'évoluer au sein de B______, les déclarations sur ce point du témoin J______ n'étant que des suppositions. En tout état de cause, son licenciement ne saurait être en lien avec l'éventuelle antipathie, par ailleurs non démontrée, qu'aurait pu nourrir à son encontre E______, puisque les enquêtes ont permis d'établir que celle-ci n'avait pas participé à la décision de mettre un terme à son contrat de travail, ni n'avait été consultée. Au vu de ce qui précède, c'est à juste titre que le Tribunal a retenu que le congé signifié au recourant n'était pas abusif. 6.             L'appelant fait grief au Tribunal de ne pas lui avoir alloué une indemnité pour tort moral en raison du "mobbing" qu'il prétend avoir subi de la part de sa supérieure hiérarchique. ![endif]&gt;![if&gt; 6.1 L'art. 328 al. 1 CO impose à l'employeur de protéger et de respecter la personnalité du travailleur. Le harcèlement psychologique, ou "mobbing", est une violation de cette obligation. Il se définit comme un enchaînement de propos 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résulte des particularités du harcèlement que celui-ci est généralement difficile à prouver, si bien qu'il faut éventuellement admettre son existence sur la base d'un faisceau d'indices convergents. Il faut cependant aussi garder à l'esprit que le harcèlement peut n'être qu'imaginaire, sinon même être allégué abusivement pour tenter de se protéger contre des remarques ou mesures pourtant justifiées (arrêts du Tribunal fédéral 4A_128/2007 du 9 juillet 2007, consid. 2.1; 4C.404/2005 du 10 mars 2006, consid. 3.2). 6.2 En l'occurrence, l'appelant allègue avoir été victime de "mobbing", sa supérieure hiérarchique lui ayant fait subir une grande pression, lui ayant imposé ses périodes de vacances et lui ayant assigné des tâches que personne ne souhaitait exécuter. Les enquêtes ont certes permis d'établir que la supérieure hiérarchique de l'appelant était une responsable exigeante, qui adoptait à son égard un comportement parfois amical, parfois distant et qu'elle lui demandait fréquemment de ranger la réserve de cartons, tâche considérée comme ingrate par certains collaborateurs. Il ressort toutefois des déclarations du témoin K______ que E______ adoptait un comportement similaire à l'égard d'autres collaborateurs, de sorte que l'on ne saurait considérer qu'elle entendait isoler ou harceler psychologiquement A______. Par ailleurs, les quelques faits décrits par l'appelant ne sauraient suffire pour admettre une volonté de le "mobber". Enfin, et comme la Cour l'a déjà relevé ci-dessus, trois mois avant son licenciement l'appelant soulignait le caractère agréable de l'ambiance de travail et la bonne entente entre les collaborateurs et leur supérieure hiérarchique, ce qu'il aurait pu s'abstenir de déclarer s'il s'estimait injustement traité. L'appelant a certes produit une expertise psychiatrique attestant d'un état dépressif, réalisée plusieurs mois après la perte de son emploi. Cette expertise ne permet toutefois pas de conclure que les problèmes de santé de A______ seraient le résultat d'un harcèlement psychologique, l'expert mentionnant plutôt, comme causes déclenchantes, le chômage et des problèmes familiaux. C'est dès lors à juste titre que le Tribunal n'a pas alloué à l'appelant d'indemnité pour tort moral. 7.             Reste à examiner la remise d'un nouveau certificat de travail demandé par l'appelant. ![endif]&gt;![if&gt; 7.1 Le travailleur peut demander en tout temps à l'employeur un certificat portant sur la nature et la durée des rapports de travail, ainsi que sur la qualité de son travail et sa conduite (art. 330a al. 1 CO). Le certificat de travail doit être exact et complet; il mentionnera les faits négatifs en relation avec les prestations de l'employé, pour autant que ceux-ci soient pertinents (ATF 136 III 510 , consid 4.1).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 travailleur qui n'établit pas avoir fourni des prestations d'une qualité au-dessus de la moyenne ne peut prétendre à un certificat de travail mentionnant qu'il a œuvré « à notre entière satisfaction » (arrêt du Tribunal fédéral 4A_117/2007 du 13 septembre 2007, consid. 7.1). Le travailleur supporte le fardeau de la preuve des faits dont il demande l'adjonction (arrêt du Tribunal fédéral précité, ibidem). 7.2 En l'espèce, l’intimée a remis à l’appelant un certificat de travail qui décrit les activités effectuées et les facultés particulières de son ancien employé. Ce document ne contient aucune appréciation négative et il relève en particulier la maîtrise de l'anglais et le bon comportement adopté par le travailleur avec sa hiérarchie et ses collègues. C'est par ailleurs à juste titre que le certificat de travail utilise le terme de "bon" pour qualifier le savoir professionnel de l'appelant. En effet, le travail de l'appelant ne peut être considéré comme excellent, terme qui qualifie la perfection, alors que des reproches ont été formulés à son encontre concernant son attitude face à des clients difficiles. Il convient en outre de ne pas perdre de vue le fait que l'appelant n'a pas respecté le règlement concernant aussi bien le contrôle des pauses que l'utilisation de la carte de rabais, de sorte que les prestations fournies, dans leur ensemble, ne sauraient être considérées comme excellentes. Le certificat de travail remis à l'appelant est dès lors conforme aux dispositions légales et aux constatations relatives à la qualité du travail fourni. Le jugement attaqué sera par conséquent également confirmé sur ce point. 8.             Les frais judiciaires d'appel, arrêtés à 500 fr., seront mis à la charge de l'appelant, qui succombe (art. 95 et 106 al. 1 CPC; art. 71 du Règlement fixant le tarif des frais en matière civile, RTFMC - E 1 05.10). ![endif]&gt;![if&gt; Le montant de 500 fr. mis à la charge de l'appelant sera provisoirement supporté par l'Etat, celui-ci plaidant au bénéfice de l'assistance judiciaire. Il n'est pas alloué de dépens (art. 22 al. 2 LaCC). * * * * * PAR CES MOTIFS, La Chambre des prud'hommes, groupe 3 : A la forme : Déclare recevable l'appel interjeté par A______ contre le jugement JTPH/88/2014 rendu le 13 mars 2014 par le Tribunal des prud'hommes dans la cause C/18490/2012-3. Au fond : Confirme ledit jugement. Déboute les parties de toutes autres conclusions. Sur les frais : Arrête les frais judiciaires d'appel à 500 fr. Les met à la charge de A______ et dit qu'ils sont provisoirement supportés par l'Etat de Genève. Dit qu'il n'est pas alloué de dépens. Siégeant : Madame Paola CAMPOMAGNANI, présidente; Monsieur Tito VILA, juge employeur, Madame Monique LENOIR, juge salariée; Madame Véronique BULUNDWE-LÉVY, greffière. La présidente : Paola CAMPOMAGNANI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