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C/18436/2020 vom 17. Oktober 2024</w:t>
      </w:r>
    </w:p>
    <w:p>
      <w:r>
        <w:t>GE Cour de justice, 2024-10-17, FR</w:t>
      </w:r>
    </w:p>
    <w:p>
      <w:r>
        <w:rPr>
          <w:b/>
        </w:rPr>
        <w:t xml:space="preserve">Quelle: </w:t>
      </w:r>
      <w:r>
        <w:t>https://mcp.opencaselaw.ch/entscheid/ge_gerichte_C_18436_2020</w:t>
      </w:r>
    </w:p>
    <w:p>
      <w:r>
        <w:t>FR: GE_GERICHTE C/18436/2020 du 17 octobre 2024</w:t>
      </w:r>
    </w:p>
    <w:p>
      <w:r>
        <w:t>IT: GE_GERICHTE C/18436/2020 del 17 ottobre 2024</w:t>
      </w:r>
    </w:p>
    <w:p>
      <w:pPr>
        <w:pStyle w:val="Heading2"/>
      </w:pPr>
      <w:r>
        <w:t>Regeste</w:t>
      </w:r>
    </w:p>
    <w:p>
      <w:r>
        <w:t>CC.285; CC.125</w:t>
      </w:r>
    </w:p>
    <w:p>
      <w:pPr>
        <w:pStyle w:val="Heading2"/>
      </w:pPr>
      <w:r>
        <w:t>Erwägungen</w:t>
      </w:r>
    </w:p>
    <w:p>
      <w:r>
        <w:rPr>
          <w:b/>
        </w:rPr>
        <w:t>E. 7</w:t>
      </w:r>
    </w:p>
    <w:p>
      <w:r>
        <w:t>Se pose encore la question du dies a quo des contributions d'entretien de la famille, dans la mesure où le Tribunal a fixé celles dues aux enfants sans se prononcer sur leur point de départ alors qu'il a fixé celle due à l'intimée à compter du prononcé du jugement attaqué.</w:t>
      </w:r>
    </w:p>
    <w:p>
      <w:r>
        <w:rPr>
          <w:b/>
        </w:rPr>
        <w:t>E. 7.1</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23 août 2017 consid. 11.1).</w:t>
      </w:r>
    </w:p>
    <w:p>
      <w:r>
        <w:rPr>
          <w:b/>
        </w:rPr>
        <w:t>E. 7.2</w:t>
      </w:r>
    </w:p>
    <w:p>
      <w:r>
        <w:t>En l'espèce, il convient d'harmoniser le paiement des contributions d'entretien nouvellement arrêtées afin d'assurer, au mieux, une bonne exécution des prestations dues. Compte tenu des mesures protectrices, qui demeurent applicables pendant la procédure de divorce et à défaut de grief soulevé par les parties à cet égard, il n'y a pas lieu de s'écarter du principe selon lequel les contributions sont dues à partir de l'entrée en force du jugement de première instance sur les points contestés en appel, soit en d'autres termes dès le prononcé du présent arrêt. Cette solution se justifie d'autant plus que les contributions allouées tiennent compte d'un revenu hypothétique de l'intimée qu'elle n'a pas encore réalisé. Dès lors, les contributions d'entretien seront dues, par simplification, dès le 1 er jour du mois suivant le prononcé du présent arrêt.</w:t>
      </w:r>
    </w:p>
    <w:p>
      <w:r>
        <w:rPr>
          <w:b/>
        </w:rPr>
        <w:t>E. 8</w:t>
      </w:r>
    </w:p>
    <w:p>
      <w:r>
        <w:t>L'intimée conteste, pour sa part, la liquidation du régime matrimonial. Elle reproche au Tribunal d'avoir considéré que le terrain situé au Cameroun constituait un acquêt, soumis au partage. Elle soutient avoir acquis ce bien grâce à une donation de son père, de sorte qu'il représente un bien propre.</w:t>
      </w:r>
    </w:p>
    <w:p>
      <w:r>
        <w:rPr>
          <w:b/>
        </w:rPr>
        <w:t>E. 8.1</w:t>
      </w:r>
    </w:p>
    <w:p>
      <w:r>
        <w:t>Le régime de la participation aux acquêts comprend les acquêts et les biens propres de chaque époux (art. 196 CC). Les acquêts sont les biens acquis par un époux à titre onéreux pendant le régime (art. 197 CC) et comprennent notamment le produit de son travail, les sommes versées par des institutions de prévoyance en faveur du personnel, les revenus de ses biens propres, les dommages-intérêts dus à raison d'une incapacité de travail ou les biens acquis en remploi de ses acquêts (art. 197 al. 2 ch. 1 à 5 CC), tandis que les biens propres comprennent les biens qui lui appartiennent au début du régime ou qui lui échoient ensuite par succession ou à quelque autre titre gratuit, et les biens acquis en remploi des biens propres (art. 198 CC). Les biens propres d'un époux constituent un patrimoine séparé. Contrairement aux acquêts, ils ne donnent lieu à aucune participation du conjoint au moment de la dissolution du régime matrimonial: chaque époux garde alors ses biens propres, avec leurs plus-values et moins-values conjoncturelles, sans avoir à en partager la valeur. En revanche, sauf convention contraire au sens de l'art. 199 al. 2 CC, les revenus des biens propres sont des acquêts (art. 197 al. 2 ch. 4 CC (Steinauer/Fountoulakis, in Commentaire romand, Code civil I, 2023, n. 1 ad art. 198 CC). Tout bien d'un époux est présumé acquêt, sauf preuve du contraire (art. 200 al. 3 CC). 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date à laquelle la composition des actifs et passifs des comptes d'acquêts est définitivement arrêtée (ATF 136 III 209 consid. 5.2). En cas de séparation judiciaire, la dissolution du régime matrimonial de la participation aux acquêts rétroagit au jour du dépôt de la demande (art. 204 al. 2 CC). Une exception existe toutefois pour les comptes en banque dont l'évaluation de leur valeur doit s'effectuer au jour de la dissolution du régime matrimonial (ATF 137 III 337 consid. 2; 136 III 209 consid. 5.2).</w:t>
      </w:r>
    </w:p>
    <w:p>
      <w:r>
        <w:rPr>
          <w:b/>
        </w:rPr>
        <w:t>E. 8.2</w:t>
      </w:r>
    </w:p>
    <w:p>
      <w:r>
        <w:t>En l'espèce, le Tribunal a considéré que le bien de l'intimée situé au Cameroun, acquis pendant le mariage et valant 43'800 fr., devait être présumé acquêt du fait qu'elle n'avait pas démontré l'avoir reçu à titre gratuit par donation de son père. Or, il ressort des chèques ayant servi au financement de l'achat que c'est le père de l'intimée qui a financé et acquis le terrain au travers de la société J______ dont il est le gérant. Celui-ci a également attesté par écrit avoir acquis ce bien pour sa fille, sans contre-prestation. Aucun élément ne permet de mettre en doute ces déclarations, ce d'autant plus qu'il a confirmé cette donation à deux reprises durant la procédure. L'intimée ne disposait du reste pas de revenus propres suffisants ou d'autres ressources pour acquérir ce bien et aucun élément ne tend à démontrer que les acquêts du couple, en particulier les revenus de l'appelant, ont été employés pour cette acquisition. Compte tenu de ces éléments, il apparaît suffisamment établi que le bien en question a été reçu en donation par l'intimée de son père et représente donc un bien propre. Par conséquent, il ne sera pas partagé. Point n'est ainsi besoin d'examiner si le bien est officiellement inscrit au nom de l'intimée ou non, ses allégués sur ce point étant quoi qu'il en soit irrecevables (cf. consid. 2.2 supra ). En conséquence, à défaut de tout autre actif, l'intimée ne dispose plus d'aucun acquêt à partager. Seul le bénéfice d'acquêts de l'appelant, qui s'élève à 126'760 fr., doit être partagé. Il en résulte une créance de 63'380 fr. en faveur de l'intimée. Le chiffre 12 du dispositif attaqué sera réformé en ce sens que l'appelant sera condamné à verser le montant de 63'380 fr. à l'intimée au titre de liquidation du régime matrimonial.</w:t>
      </w:r>
    </w:p>
    <w:p>
      <w:r>
        <w:rPr>
          <w:b/>
        </w:rPr>
        <w:t>E. 9</w:t>
      </w:r>
    </w:p>
    <w:p>
      <w:r>
        <w:t>L'appelant fait valoir deux créances envers l'intimée, dont il lui réclame le remboursement en sus de la liquidation du régime matrimonial.</w:t>
      </w:r>
    </w:p>
    <w:p>
      <w:r>
        <w:rPr>
          <w:b/>
        </w:rPr>
        <w:t>E. 9.1</w:t>
      </w:r>
    </w:p>
    <w:p>
      <w:r>
        <w:t>Après la dissolution du régime matrimonial, la loi prévoit que les époux règlent leurs dettes réciproques (art. 205 al. 3 CC). Le régime légal de la participation aux acquêts n'a pas d'effet sur l'exigibilité des dettes entre époux (art. 203 al. 1 CC). Toutes les dettes entre époux doivent être prises en compte, qu'elles aient ou non leur source en droit matrimonial. Il peut s'agir de dettes "ordinaires" résultant d'un contrat entre les époux (prêt, bail, contrat de travail, etc.) ou résultant des effets généraux du mariage (notamment de celles fondées sur l'art. 165 al. 1 et 2 CC) (Steinauer/Fountoulakis, op. cit., n. 25 ad art. 205 CC). La dette peut naître du fait qu'un époux rembourse seul une dette à un tiers, alors qu'elle incombe aux deux époux par moitié, voire à l'autre époux, dans le régime interne (Burgat, Commentaire pratique, Droit matrimonial fond et procédure, 2016, n. 20 ad art. 205 CC). Dans ces hypothèses, la donation n'est pas présumée (arrêt du Tribunal fédéral 5A_87/2010 du 5 mai 2010 consid. 3.1 et les références citées; Burgat, op. cit., n. 20 ad art. 205 CC). 9.2.1 En l'espèce, l'appelant réclame le remboursement du montant de 6'405 fr. correspondant, selon lui, à une partie des acomptes d'impôts 2018 de la famille qu'il aurait payés seul en 2018 et qui auraient été attribués et reversés à l'intimée en 2020 (sur son compte K______) par l'administration fiscale ensuite de l'établissement de la taxation séparée. Son grief est infondé. Comme l'a à bon droit retenu le premier juge, le paiement des charges de la famille par l'appelant jusqu'au moment de la séparation constitue de l'entretien au sens de l'art. 163 CC, de sorte qu'il ne peut en obtenir le remboursement. Par ailleurs, les avoirs détenus sur le compte K______ de l'intimée ont fait l'objet du partage lors de la liquidation du régime matrimonial. Si ce compte ne présentait certes plus qu'un solde quasi nul au moment du partage, il ressort de la procédure qu'en 2020, soit au moment où l'intimée a perçu un montant relatif aux impôts 2018, l'appelant ne s'acquittait plus des contributions d'entretien dues, de sorte qu'il paraît évident que le montant dont il réclame le remboursement a été affecté aux besoins courants de la famille. 9.2.2 L'appelant réclame, en outre, le remboursement de la somme de 4'857 fr. correspondant à des frais de repas scolaires et de parascolaire qu'il allègue avoir payés depuis 2019 alors qu'ils auraient dû être payés par l'intimée au moyen des contributions d'entretien. Il n'est pas contesté que les contributions d'entretien fixées sur mesures protectrices comprenaient les frais de cantine et de parascolaire. Cela étant, à teneur des éléments de la procédure, l'appelant ne s’est pas régulièrement acquitté des contributions dues à l’entretien de sa famille, accumulant un arriéré de 30'000 fr. en 2020. L'appelant prétend que les arriérés de contributions concernaient uniquement la période antérieure au prononcé du jugement sur mesures protectrices, de sorte que l'intimée pouvait bel et bien régler les frais de cantine et de parascolaire au moyen des contributions versées dès 2019. Ses allégations ne sont toutefois pas démontrées et sont, de surcroît, contredites par les considérants du jugement du 11 octobre 2019 dont il ressort que l'appelant s'était régulièrement acquitté de ses obligations d'entretien jusqu'au prononcé du jugement rendu sur mesures protectrices. Partant, le défaut de paiement ayant engendré les arriérés mis en poursuite ne peut que se rapporter aux contributions postérieures au prononcé du jugement rendu sur mesures protectrices, destinées à couvrir les frais de cantine et de parascolaire. Or, en l'absence de contributions régulièrement versées, l'appelant ne peut reprocher à l'intimée de ne pas s'être acquittée de ces charges et n'est pas légitimé à demander le remboursement des montants qu'il a finalement lui-même directement versés auprès des organismes concernés. Son grief sera dès lors rejeté.</w:t>
      </w:r>
    </w:p>
    <w:p>
      <w:r>
        <w:rPr>
          <w:b/>
        </w:rPr>
        <w:t>E. 10</w:t>
      </w:r>
    </w:p>
    <w:p>
      <w:r>
        <w:t>10.1 Lorsque la Cour statue à nouveau, elle se prononce sur les frais fixés par le Tribunal de première instance (art. 318 al. 3 CPC). En l'espèce, la modification du jugement entrepris ne commande pas de revoir la décision du Tribunal sur les frais de première instance qui répartit par moitié les frais judiciaires et compense les dépens. Cette décision ne fait du reste l'objet d'aucun grief et est conforme aux normes légales applicables (art. 6 et 30 RTFMC; art. 107 al. 1 let. c CPC).</w:t>
      </w:r>
    </w:p>
    <w:p>
      <w:r>
        <w:rPr>
          <w:b/>
        </w:rPr>
        <w:t>E. 10.2</w:t>
      </w:r>
    </w:p>
    <w:p>
      <w:r>
        <w:t>Les frais de la procédure d’appel et d'appel joint seront arrêtés à 4'000 fr. au total, compte tenu des nombreux griefs soulevés par les parties, de la complexité de la cause et du travail qu'elle a impliqué (art. 5, 6, 30 al. 2 et 35 RTFMC) et partiellement compensés avec l'avance de 2'000 fr. fournie par l'appelant, qui reste acquise à l'Etat de Genève (art. 111 al. 1 CPC). Au vu de l'issue du litige et de sa nature familiale, ils seront mis à la charge des parties par moitié chacune, soit 2'000 fr. à charge de chacune d'elles (art. 106 al. 2 et 107 al. 1 let. c CPC). L'intimée plaidant au bénéfice de l’assistance judiciaire, sa part de frais sera provisoirement supportée par l’Etat de Genève, lequel pourra en réclamer le remboursement ultérieurement (art. 122 al. 1 let. b, 123 CPC et 19 du Règlement sur l’assistance juridique - RAJ - RS/GE E 2 05.04). Pour les mêmes motifs, chaque partie supportera ses propres dépens d’appel et d'appel joint (art. 106 al. 2 et 107 al. 1 let. c CPC). * * * * * PAR CES MOTIFS, La Chambre civile : A la forme : Déclare recevables l'appel interjeté le 28 septembre 2023 par A______ et l'appel joint interjeté le 8 novembre 2023 par B______ contre le jugement JTPI/9383/2023 rendu le 24 août 2023 par le Tribunal de première instance dans la cause C/18436/2020. Au fond : Annule les chiffres 8, 10 et 12 du dispositif de ce jugement et statuant à nouveau sur ces points : Condamne A______ à verser en mains de B______, par mois et d'avance, une contribution à l'entretien des enfants C______ et D______ de 500 fr. par enfant, allocations familiales non comprises, due à compter du 1 er jour suivant le prononcé du présent arrêt et jusqu'à leur majorité, voire au-delà en cas de formation régulièrement suivie. Condamne A______ à verser en faveur de B______, par mois et d'avance, une contribution à son entretien de 650 fr., due à compter du 1 er jour suivant le prononcé du présent arrêt et ce pendant une durée de trois ans. Condamne A______ à verser à B______ la somme de 63'380 f. au titre de soulte de liquidation du régime matrimonial. Confirme le jugement entrepris pour le surplus. Déboute les parties de toutes autres conclusions. Sur les frais : Arrête les frais d'appel et d'appel joint à 4'000 fr., les met à la charge des parties par moitié chacune et dit qu'ils sont partiellement compensés avec l'avance fournie par A______, qui demeure acquise à l'Etat de Genève. Dit que les frais judiciaires mis à la charge de B______ sont provisoirement supportés par l'Etat de Genève. Dit que chaque partie supporte ses propres dépens d'appel et d'appel joint. Siégeant : Monsieur Cédric-Laurent MICHEL, président; Madame Stéphanie MUSY,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