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C/18429/2018 vom 30. Oktober 2019</w:t>
      </w:r>
    </w:p>
    <w:p>
      <w:r>
        <w:t>GE Cour de justice, 2019-10-30, FR</w:t>
      </w:r>
    </w:p>
    <w:p>
      <w:r>
        <w:rPr>
          <w:b/>
        </w:rPr>
        <w:t xml:space="preserve">Quelle: </w:t>
      </w:r>
      <w:r>
        <w:t>https://mcp.opencaselaw.ch/entscheid/ge_gerichte_C_18429_2018</w:t>
      </w:r>
    </w:p>
    <w:p>
      <w:r>
        <w:t>FR: GE_GERICHTE C/18429/2018 du 30 octobre 2019</w:t>
      </w:r>
    </w:p>
    <w:p>
      <w:r>
        <w:t>IT: GE_GERICHTE C/18429/2018 del 30 ottobre 2019</w:t>
      </w:r>
    </w:p>
    <w:p>
      <w:pPr>
        <w:pStyle w:val="Heading2"/>
      </w:pPr>
      <w:r>
        <w:t>Regeste</w:t>
      </w:r>
    </w:p>
    <w:p>
      <w:r>
        <w:t>CC.55.al2; CO.328</w:t>
      </w:r>
    </w:p>
    <w:p>
      <w:pPr>
        <w:pStyle w:val="Heading2"/>
      </w:pPr>
      <w:r>
        <w:t>Erwägungen</w:t>
      </w:r>
    </w:p>
    <w:p>
      <w:r>
        <w:rPr>
          <w:b/>
        </w:rPr>
        <w:t>E. 26</w:t>
      </w:r>
    </w:p>
    <w:p>
      <w:r>
        <w:t>septembre 2018 et portée devant le Tribunal des prud'hommes le 21 décembre 2018, A______ a formé une demande contre la C______. Elle a pris les conclusions suivantes: « 1. Dit la condamnation de la C______, représentée par D______, la Présidente, conjointement et solidairement. 2. Dit la prononciation d'un Commandement de payer à Mme A______ la somme de CHF 25'000 (vingt-cinq mille francs) à titre de dommages et intérêts ainsi que pour tort moral. 3. Dit le rejet de la totalité de la requête de la partie adverse. 4. Dit que les dommages et intérêts seront à la charge de l'Etat de Genève car les Juges ont favorisé Madame D______ (confédérée) tout au long de la procédure en écartant toutes les preuves formelles au cas où l'Association C______ est mise en liquidation pour fuir ses responsabilités ». Elle a allégué que les objets que D______ refusait de lui rendre valaient 10'500 fr. Elle a établi une liste desdits objets, laquelle n'était pas accompagnée de pièces justificatives, à l'exception d'un devis du 24 mars 2015 de G______ SA de 1'669 fr. pour l'achat d'une paire de lunettes de marque H______ avec verres progressifs anti-reflet. k. Il résulte des déclarations de A______ lors de l'audience du Tribunal du 22 mai 2019, que la somme de 25'000 fr. comprenait 10'500 fr. représentant la valeur des objets volés, une participation au chiffre d'affaires de l'association et une indemnité pour tort moral. A______ s'était rendue au siège de l'association le 29 juin 2014 avec son époux mais elle n'avait pas pu récupérer toutes ses affaires. Elle avait subi un tort moral au motif que ses affaires ayant été retenues par D______, elle n'avait plus de permis de conduire ni carte d'assurance maladie, ce qui l'empêchait de conduire et de se faire soigner. La C______, qui avait écrit au Tribunal qu'elle estimait ne rien devoir à A______, n'était ni présente ni représentée. La cause a été gardée à juger à l'issue de l'audience. EN DROIT 1.             1.1 L'appel est recevable contre les décisions finales de première instance (art. 308 al. 1 lt. a CPC), dans les causes dont la valeur litigieuse est supérieure à 10'000 fr. (art. 308 al. 2 CPC), selon les dernières conclusions prises devant la juridiction de première instance. Ces conditions étant remplies, la voie de l'appel est ouverte. 1.2 Interjeté dans le délai utile et suivant la forme écrite prescrite par la loi (art. 130, 131 et 311 al. 1 CPC) et suffisamment motivé s'agissant d'un plaideur en personne, l'appel est recevable. 1.3 La Cour revoit la cause avec un plein pouvoir d'examen (art. 310 CPC). 1.4 Compte tenu de la valeur litigieuse ne dépassant pas 30'000 fr., le présent litige est soumis à la procédure simplifiée (art. 243 al. 1 CPC), ainsi qu'à la maxime inquisitoire sociale (art. 247 al. 2 let. b ch. 2 CPC). 2. La pièce nouvelle déposée avec l'appel est recevable pour avoir été établie après que la cause a été gardée à juger par le Tribunal (cf. art 317 al. 1 CPC). En revanche les deux pièces nouvelles déposées après que la cause a été gardée à juger par la Cour seront écartées de la procédure. Les trois pièces en question ne sont de toute façon pas déterminantes pour la solution du litige. 3. A bien la comprendre, l'appelante fait grief au Tribunal d'avoir rejeté sa prétention en paiement de 24'440 fr. (25'000 fr. moins les 560 fr. qui lui ont été alloués) à titre de dommages-intérêts (10'500 fr.) et tort moral (le solde, soit 13'940 fr.) en relation avec le vol de ses affaires personnels perpétré par D______. 3.1. 3.1.1 La maxime inquisitoire « sociale », applicable en l'espèce,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(cf. ATF 125 III 231 consid. 4a et réf., JdT 2000 I 194, SJ 1999 I 373). Le tribunal n'a pas non plus l'obligation de fouiller de lui-même le dossier afin d'y trouver ce qu'il en ressortirait en faveur de la partie qui a présenté un moyen de preuve (arrêts du Tribunal fédéral 4A_701/2012 du 19 avril 2013 consid. 1.2; 4A_497/2008 du 10 février 2009 consid 4.2 et réf., n.p. in ATF 135 III 220 , JdT 2009 I 486; ATF 141 III 569 consid. 2.3). S'il incombe aux parties d'alléguer et de prouver les faits justifiant leurs conclusions, il appartient en revanche au juge, qui applique le droit d'office (art. 57 CPC) ,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(arrêts du Tribunal fédéral 5A_561/2011 du 19 mars 2012 consid. 12.1 non publié in ATF 138 III 289 ; 5A_413/2009 du 2 février 2010 consid. 6, non publié in ATF 136 III 269 ; 4A_491/2010 du 30 août 2011 consid. 2.3, non publié in ATF 137 III 455 ).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3.1.2 Le lésé qui ouvre action en dommages-intérêts en invoquant l'art. 41 al. 1 CO doit alléguer et prouver tous les faits constitutifs de cette norme de responsabilité, conformément à l'art. 8 CC: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 s'il n'est pas à même de déterminer si chacun de ces faits s'est produit ou ne s'est pas produit, il doit statuer au détriment du lésé (ATF 132 III 689 consid. 4.5; 126 III 189 consid. 2b; arrêt du Tribunal fédéral 4A_431/2015 du 19 avril 2016 consid. 5.1). 3.1.3 Une association dispose de la personnalité juridique. Ses organes sont notamment la direction et chaque membre de la direction pris individuellement (JEANNERET/HARI, Commentaire romand, Code civil I, 2010, n. 58 ad art. 60 CC et n. 43 ad art. 69 CC). Les actes illicites (art. 41 CO) des organes sont imputés à la personne morale (cf. art. 55 al. 2 CC). Pour que le fait soit imputé à la personne morale, l'organe doit cependant avoir agi dans le cadre de ses fonctions. Pour cela, il suffit que l'acte entre, par un rapport fonctionnel, dans le cadre général des attributions de l'organe. Par ailleurs, peu importe que l'organe ait agi dans son intérêt personnel et non dans celui de la personne morale. En revanche, la personne morale ne répond pas de l'acte commis par un organe à titre privé, même s'il a eu lieu à l'occasion de la gestion des affaires sociales (XOUDIS, Commentaire romand, Code civil I, 2010, n. 65 ad art. 54/55 CC).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L'employeur ne répond pas purement et simplement de tous les dommages que cause son auxiliaire : pour que sa responsabilité soit engagée, il faut encore que la victime prouve que l'auxiliaire a agi dans l'accomplissement de son travail. Il ne suffit pas que le dommage ait été causé à l'occasion de l'exécution du travail; il faut bien plus une relation directe et fonctionnelle entre l'activité pour laquelle l'employeur a eu recours aux services de l'auxiliaire et l'acte dommageable, celui-ci étant ainsi accompli dans l'intérêt de l'employeur (arrêt du Tribunal fédéral 4A_54/2008 du 29 avril 2008 consid. 4.2. et les références citées). L'art. 55 CO est une loi spéciale par rapport à l'art. 41 CO. La distinction entre l'art. 55 al. 2 CC et l'art. 55 CO coïncident avec la délimitation entre les notions d'organe et d'auxiliaire ; l'art. 55 al. 2 CC s'applique lorsqu'une personne a agi en tant qu'organe et l'art. 55 CO quand elle a agi en tant qu'auxiliaire (WERRO, Commentaire romand, Code des obligations I, 2 ème éd. 2012, n. 28 et 35 ad art. 55 CO). 3.1.4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 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 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3.1.5 La qualité pour agir (ou légitimation active) et pour défendre (ou légitimation passive) appartiennent aux conditions matérielles de la prétention litigieuse, lesquelles se déterminent selon le droit au fond et dont le défaut conduit au rejet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 3.2. 3.2.1 En l'espèce, l'appelante n'indique pas sur quelle base elle agit à l'encontre de l'intimée. Elle ne présente pas des faits clairs et détaillés permettant de conclure à l'application de dispositions relatives au contrat de travail qui pourraient fonder la responsabilité de l'employeur. Elle ne critique d'ailleurs pas la motivation du Tribunal, qui a retenu que l'intimée ne disposait pas de la légitimation passive, au motif que les prétentions qu'elle élevait ne relevaient pas du contrat de travail ayant lié les parties. Le jugement attaqué doit être confirmé pour ce motif déjà. 3.2.2 En toute hypothèse, aucune des dispositions légales dont l'application pourrait être envisagée ne permet de fonder la responsabilité de l'employeur. En effet, le vol dont se prévaut l'appelante a été commis par D______, dont la condamnation pour ces faits a été prononcée par une ordonnance pénale entrée en force. Le Ministère public a renvoyé l'appelante à agir par la voie civile, s'agissant de ses éventuelles conclusions civiles à l'encontre de la précitée. L'appelante a agi en paiement contre D______ devant la juridiction des prud'hommes. Elle a été déboutée au motif qu'elle n'était pas liée par un contrat de travail avec cette dernière. L'appelante a ensuite dirigé les mêmes conclusions à l'encontre de l'intimée, qui est dotée de la personnalité juridique. D______, directrice et membre du comité de l'association bénéficiant d'une signature individuelle, est un organe de l'intimée, de sorte que seul l'art. 55 al. 2 CO, à l'exclusion de l'art. 55 CO, pourrait entrer en ligne de compte. A ce sujet, il n'est ni contesté ni contestable que D______ a agi à titre privé et en dehors de son activité professionnelle. L'acte illicite de l'organe ne peut ainsi pas être imputé à l'association. De plus, l'appelante n'établit pas son dommage, puisqu'elle se borne à présenter une liste des objets prétendument volés, sans en détailler la valeur et sans produire de justificatifs suffisants. Les conditions pour réclamer à l'intimée la réparation du dommage causé par le vol ne sont donc pas réalisées. Pour ce qui est de la prétention en réparation du tort moral, l'appelante n'établit pas, et n'allègue d'ailleurs même pas, que l'intimée aurait commis une violation contractuelle, notamment en omettant de protéger ou de respecter sa personnalité. En toute hypothèse, elle ne prouve pas qu'elle aurait subi une atteinte objectivement grave à sa personnalité; elle n'allègue aucune circonstance objective dont on pourrait inférer une grave souffrance morale. Les conditions requises pour réclamer à l'employeur la réparation du tort moral ne sont donc pas réalisées. L'appel se révèle infondé, de sorte que le jugement sera entièrement confirmé. 4. En raison de la valeur litigieuse inférieure à 50'000 fr. en l'espèce, il n'est pas perçu de frais judiciaires (art. 116 al. 1 CPC et 71 RTFMC). * * * * * PAR CES MOTIFS, La Chambre des prud'hommes, groupe 5 : A la forme : Déclare recevable l'appel interjeté le 4 septembre 2019 par A______ contre le jugement JTPH/308/2019 rendu le 14 août 2019 par le Tribunal des prud'hommes dans la cause C/18429/2018-5. Au fond : Confirme le jugement attaqué. Déboute A______ de toutes autres conclusions. Dit que la procédure est gratuite. Siégeant : Monsieur Ivo BUETTI, président; Madame Anne-Christine GERMANIER, juge employeur; Monsieur Willy KNOPFEL, juge salarié; Madame Chloé RAMAT, greffière. I 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