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C/18389/2019 vom 17. Februar 2020</w:t>
      </w:r>
    </w:p>
    <w:p>
      <w:r>
        <w:t>GE Cour de justice, 2020-02-17, FR</w:t>
      </w:r>
    </w:p>
    <w:p>
      <w:r>
        <w:rPr>
          <w:b/>
        </w:rPr>
        <w:t xml:space="preserve">Quelle: </w:t>
      </w:r>
      <w:r>
        <w:t>https://mcp.opencaselaw.ch/entscheid/ge_gerichte_C_18389_2019</w:t>
      </w:r>
    </w:p>
    <w:p>
      <w:r>
        <w:t>FR: GE_GERICHTE C/18389/2019 du 17 février 2020</w:t>
      </w:r>
    </w:p>
    <w:p>
      <w:r>
        <w:t>IT: GE_GERICHTE C/18389/2019 del 17 febbraio 2020</w:t>
      </w:r>
    </w:p>
    <w:p>
      <w:pPr>
        <w:pStyle w:val="Heading2"/>
      </w:pPr>
      <w:r>
        <w:t>Regeste</w:t>
      </w:r>
    </w:p>
    <w:p>
      <w:r>
        <w:t>EFFET SUSPENSIF;MAINLEVÉE DÉFINITIVE;SOUSTRACTION D'IMPÔT;PRESCRIPTION | CPC.325.al2</w:t>
      </w:r>
    </w:p>
    <w:p>
      <w:pPr>
        <w:pStyle w:val="Heading2"/>
      </w:pPr>
      <w:r>
        <w:t>Volltext</w:t>
      </w:r>
    </w:p>
    <w:p>
      <w:r>
        <w:t>Genève Cour de Justice (Cour civile) Chambre civile (Sommaires) 17.02.2020 C/18389/2019</w:t>
      </w:r>
    </w:p>
    <w:p>
      <w:r>
        <w:t>EFFET SUSPENSIF;MAINLEVÉE DÉFINITIVE;SOUSTRACTION D'IMPÔT;PRESCRIPTION | CPC.325.al2</w:t>
      </w:r>
    </w:p>
    <w:p>
      <w:r>
        <w:t>C/18389/2019 ACJC/277/2020 du 17.02.2020 sur JTPI/18332/2019 ( SML ) Descripteurs : EFFET SUSPENSIF;MAINLEVÉE DÉFINITIVE;SOUSTRACTION D'IMPÔT;PRESCRIPTION Normes : CPC.325.al2 Par ces motifs RÉPUBLIQUE ET CANTON DE GENÈVE POUVOIR JUDICIAIRE C/18389/2019 ACJC/277/2020 ARRÊT DE LA COUR DE JUSTICE Chambre civile du LUNDI 17 FEVRIER 2020 Entre A______ SA , domiciliée ______, recourant contre un jugement rendu par la 22ème Chambre du Tribunal de première instance de ce canton le 17 décembre 2019, comparant par Me Romain Jordan, avocat, rue Général-Dufour 15, case postale 5556, 1211 Genève 11, en l'étude duquel elle fait élection de domicile, et ETAT DE GENEVE, SOIT POUR LUI LA PERCEPTION DE L'ADMINISTRATION FISCALE CANTONALE , p.a. Service du contentieux, rue du Stand 26, case postale 3937, 1211 Genève 3, intimé, comparant en personne. Vu le jugement JTPI/18332/2019 rendu le 17 décembre 2019 par le Tribunal de première instance dans la cause C/18389/2019-22 SML, prononçant la mainlevée définitive de l'opposition formée au commandement de payer, poursuite n° 1______, notifié à A______ SA à la requête de l'ETAT DE GENEVE; Vu le recours formé contre ce jugement par A______ SA; Attendu, EN FAIT , que la partie recourante a conclu, à titre préalable, à la suspension du caractère exécutoire du jugement précité au motif qu'il la mettait en situation financière difficile en la contraignant à payer des sommes importantes et que les chances de succès du recours n'étaient pas nulles (violation du droit d'être entendu par le premier juge qui avait totalement ignoré ses arguments concernant la prescription; violation des règles en matière de prescription) ; Que la partie intimée a conclu au rejet de la requête de suspension du caractère exécutoire du jugement;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 les chances de succès du recours doivent également être prises en compte et la requête d'effet suspensif rejetée si elles sont ténues (arrêts du Tribunal fédéral 5A_1047/2017 du 3 mai 2017 consid. 3.3.2 et 5A_1021/2014 du 20 mai 2015 consid. 3.1); Qu'en l'espèce, la partie recourante allègue qu'elle serait exposée à d'importantes difficultés financières, notamment de liquidités, si elle devait s'acquitter du montant litigieux; qu'elle produit une attestation de sa fiduciaire qui évoque des "demandes prématurées" de paiement alors que des recours sont pendants; Que le montant en poursuite est important et peut vraisemblablement mettre en difficulté la recourante; Que la question peut toutefois rester ouverte, la requête devant être rejetée faute de chances suffisantes de succès du recours. Que la recourante invoque le grief de violation de son droit d'être entendu, le juge de première instance n'ayant pas du tout examiné l'argument de la prescription du droit de procéder au rappel d'impôt et de sanctionner la soustraction fiscale; Que l'argument de la prescription a toutefois bien été abordé dans la décision dont est recours, contrairement à ce que prétend la recourante, mais de manière succincte, et peut-être erronée, ce qui est toutefois suffisant à respecter son droit d'être entendue (arrêt du Tribunal fédéral 4A_215/2017 du 15 janvier 2019 consid. 3.2; ATF 142 III 433 consid. 4.3.2; ATF 141 V 557 consid. 3.2.1; ATF 136 I 229 consid. 5.2); Que les chances de succès fondées sur ce grief sont donc ténues; Que les chances de succès du recours sur les griefs de fond sont également ténues; Que la prescription de la poursuite pénale pour soustraction fiscale commise dans la période pénale 2003 - 2008, découle de l'art. 58 al. 1 et al. 2 aLHID et de l'art. 333 aCP entre le 1 er octobre 2002 et le 31 décembre 2016, puis de l'art. 58 al. 2 et 3 LHID dès le 1 er janvier 2017; qu'elle n'est pas acquise puisqu'une décision de première instance a été rendue avant fin 2013, soit avant l'écoulement de dix ans; Que la prescription du droit de percevoir l'amende suit le régime déterminé par les cantons (art. 61 LHID) et, en l'occurrence, l'art. 42 LPGIP, applicable par renvoi de l'art. 78 LPFisc, soit cinq ans dès l'entrée en force de la décision; Qu'elle n'est pas acquise en l'occurrence, la décision du 12 août 2013 n'étant entrée en force qu'après l'épuisement des recours utilisés par la recourante, soit en 2018; Qu'en réalité, la recourante omet, dans ses griefs, de distinguer la prescription du droit de poursuivre pénalement et la prescription de la perception de l'amende; qu'elle ne prend en considération que la première dans son raisonnement, ce que souligne l'intimé dans ses observations en référence à un arrêt de la Cour de justice visant une problématique connexe ( ACJC/1568/2019 du 29 octobre 2019); Que la modification du droit de la prescription au 1 er janvier 2017 et l'application du principe de la lex mitior prévu à l'art. 78h LHID ne sont d'aucun secours à la recourante, cette dernière n'expliquant pas en quoi les différentes prescriptions invoquées seraient acquises sous l'ancien ou sous le nouveau droit, que ce soit en termes de prescription de la poursuite pénale ou de prescription de la perception de l'amende; Que l'invocation de la péremption de quinze ans du droit de procéder au rappel d'impôt (art. 61 al. 3 LPFisc et 53 al. 3 LHID) n'est pas pertinente, s'agissant d'une poursuite ne visant que l'amende fiscale et non le rappel d'impôt; Que la requête en suspension de l'effet exécutoire du jugement litigieux sera par conséquent rejetée; Qu'il sera statué sur les frais liés à la présente décision dans l'arrêt rendu sur le fond (art. 104 al. 3 CPC). * * * * * PAR CES MOTIFS, La Chambre civile : Statuant sur requête de suspension de l'effet exécutoire du jugement entrepris : Rejette la requête de A______ SA tendant à la suspension de l'effet exécutoire attaché au jugement JTPI/18332/2019 rendu le 17 décembre 2019 par le Tribunal de première instance dans la cause C/18389/2019-22 SML. Dit qu'il sera statué sur les frais liés à la présente décision dans l'arrêt rendu sur le fond. Siégeant : Monsieur Jean REYMOND, président ad interim ; Madame Mélanie DE RESENDE PEREIRA, greffière. Le président ad interim : Jean REYMOND La greffière : Mélanie DE RESENDE PEREIRA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