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C/18329/2014 vom 5. Mai 2015</w:t>
      </w:r>
    </w:p>
    <w:p>
      <w:r>
        <w:t>GE Cour de justice, 2015-05-05, FR</w:t>
      </w:r>
    </w:p>
    <w:p>
      <w:r>
        <w:rPr>
          <w:b/>
        </w:rPr>
        <w:t xml:space="preserve">Quelle: </w:t>
      </w:r>
      <w:r>
        <w:t>https://mcp.opencaselaw.ch/entscheid/ge_gerichte_C_18329_2014</w:t>
      </w:r>
    </w:p>
    <w:p>
      <w:r>
        <w:t>FR: GE_GERICHTE C/18329/2014 du 5 mai 2015</w:t>
      </w:r>
    </w:p>
    <w:p>
      <w:r>
        <w:t>IT: GE_GERICHTE C/18329/2014 del 5 maggio 2015</w:t>
      </w:r>
    </w:p>
    <w:p>
      <w:pPr>
        <w:pStyle w:val="Heading2"/>
      </w:pPr>
      <w:r>
        <w:t>Regeste</w:t>
      </w:r>
    </w:p>
    <w:p>
      <w:r>
        <w:t>ATTRIBUTION DE L'EFFET SUSPENSIF | CPC.315;</w:t>
      </w:r>
    </w:p>
    <w:p>
      <w:pPr>
        <w:pStyle w:val="Heading2"/>
      </w:pPr>
      <w:r>
        <w:t>Volltext</w:t>
      </w:r>
    </w:p>
    <w:p>
      <w:r>
        <w:t>Genf Cour de Justice (Cour civile) Chambre civile 05.05.2015 C/18329/2014 Genève Cour de Justice (Cour civile) Chambre civile 05.05.2015 C/18329/2014 Ginevra Cour de Justice (Cour civile) Chambre civile 05.05.2015 C/18329/2014</w:t>
      </w:r>
    </w:p>
    <w:p>
      <w:r>
        <w:t>ATTRIBUTION DE L'EFFET SUSPENSIF | CPC.315;</w:t>
      </w:r>
    </w:p>
    <w:p>
      <w:r>
        <w:t>C/18329/2014 ACJC/577/2015 du 05.05.2015 sur JTPI/3661/2015 ( SDF ) Descripteurs : ATTRIBUTION DE L'EFFET SUSPENSIF Normes : CPC.315; Par ces motifs RÉPUBLIQUE ET CANTON DE GENÈVE POUVOIR JUDICIAIRE C/18329/2014 ACJC/577/2015 ARRÊT DE LA COUR DE JUSTICE Chambre civile du MARDI 5 MAI 2015 Entre Monsieur A______ , domicilié ______ (VD), appelant d'un jugement rendu par la 3ème Chambre du Tribunal de première instance de ce canton le 20 mars 2015, comparant par Me Alain Berger, avocat, 9, boulevard des Philosophes, 1205 Genève, en l'étude duquel il fait élection de domicile, et Madame B______ , domiciliée ______ (GE), intimée, comparant par Me Frédéric Marti, avocat, 5, chemin Kermély, case postale 473, 1211 Genève 12, en l'étude duquel elle fait élection de domicile. Vu, EN FAIT , le jugement JTPI/3661/2015 du 20 mars 2015, notifié le 24 mars 2015 à A______, aux termes duquel le Tribunal de première instance, statuant sur mesures provisionnelles de divorce, a, notamment, attribué la jouissance exclusive de la villa conjugale à B______ (ch. 1), attribué la garde sur C______ à cette dernière (ch. 2) et fixé le montant dû par A______ à B______ à titre de contribution à l'entretien de la famille à 8'000 fr. par mois dès le 1 er avril 2015 (ch. 4); Vu l'appel expédié le 7 avril 2015 par A______ au greffe de la Cour de justice par lequel il conteste le montant de la contribution d'entretien mise à sa charge ainsi que l'attribution de la jouissance exclusive du domicile conjugal à son épouse, concluant à l'annulation du jugement sur ces points et sollicitant que la contribution d'entretien en faveur de C______ soit arrêtée à 4'500 fr. par mois à compter du 1 er avril 2015 et qu'il lui soit donné acte de son engagement à prendre en charge ses propres frais de déplacement et ceux de son fils lors de l'exercice du droit de visite; Vu la requête d'effet suspensif de l'appelant, celui-ci exposant que son épouse l'a informé par courriel du 17 mars 2015 qu'elle avait trouvé une place de travail à Singapour auprès de la société D______ où elle réaliserait un salaire de 110'000 fr. par an; que l'épouse n'a donc plus d'intérêt à l'attribution du domicile conjugal et dont il est à craindre qu'elle le mette en location, sans toutefois assumer le paiement des intérêts hypothécaires, que, par ailleurs, le paiement de la contribution d'entretien mise à sa charge l'expose au risque de séquestres et de saisie de ses biens, dès lors qu'il n'aurait pas les moyens de la verser; Qu'invitée à se déterminer sur la requête d'effet suspensif, l'intimée s'y oppose faisant valoir que la jurisprudence citée par l'appelant à l'appui de sa requête d'effet suspensif n'est pas pertinente et que sa situation financière est "totalement précaire" au vu de son revenu mensuel de 14'338 fr., qu'elle n'est garantie de percevoir que pendant la période probatoire, qui dure jusqu'au 23 juin 2015; Considérant, EN DROIT , que la Cour est saisie d'un appel au sens de l'art. 308 CPC; Que le jugement querellé portant sur des mesures provisionnelles, l'appel n'a pas d'effet suspensif ex lege (art. 315 al. 4 let. b CPC); Que compte tenu de la présence d'un enfant mineur,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il y a en particulier lieu de tenir compte, dans la décision sur effet suspensif relative à l'attribution du domicile conjugal, de l'intérêt de l'enfant des parties; Qu'en l'état, le déménagement de l'intimée à Singapour avec l'enfant revêt un caractère provisoire, l'intimée ayant exposé que si à l'issue de la période probatoire prévue dans son contrat de travail et échéant le 23 juin 2015, son engagement n'était pas confirmé, elle reviendrait en Suisse; Qu'au vu de la situation professionnelle non stabilisée de l'intimée, à qui la garde de l'enfant des parties a été confiée – point non contesté en appel -, il convient de retenir, au stade de la décision sur effet suspensif, qu'il est dans l'intérêt de l'enfant de ne pas l'exposer au risque potentiel de se retrouver sans logement dans l'hypothèse où le contrat de travail de sa mère ne devrait pas être confirmé à fin juin 2015; Que dans le cadre de la pesée des intérêts entre le préjudice difficilement réparable que chaque partie risque de subir en cas d'octroi, respectivement de rejet de l'effet suspensif, celui de l'intimée et de l'enfant l'emporte ainsi sur celui de l'appelant, qui fait valoir un préjudice d'ordre purement financier du fait qu'il ne pourra pas, avant cette date, mettre en location la villa conjugale; Que, par ailleurs, dans la mesure où les parties s'accordent sur la mise en location du domicile conjugal dans l'hypothèse où l'intimée poursuivrait son séjour à Singapour au-delà du 23 juin 2015, celle-ci pourra alors intervenir rapidement; Qu'enfin, il est relevé que l'octroi de l'effet suspensif sur ce point n'aurait, de toute manière, pas pour effet que l'appelant pourrait, sans le consentement de l'intimée, d'ores et déjà procéder à la location de la villa (art. 169 CC); Que, par ailleurs, l'appelant ne rend pas vraisemblable que le paiement pendant la procédure d'appel de la contribution d'entretien mise à sa charge l'exposerait à un préjudice difficilement réparable; Qu'en effet, bien que le capital de plus de 9'700'000 € dont il a hérité en 2007 a diminué, celui-ci s'élevait encore, selon ses allégations, à environ 2'500'000 fr. en 2013, de sorte que le paiement de la contribution n'est pas susceptible de porter atteinte à son minimum vital; Qu'il ne rend, en outre, nullement vraisemblable qu'il serait exposé à des saisies à brève échéance; Qu'en cas d'admission de son appel, l'appelant pourra réclamer le remboursement à l'intimée, qui réalise un salaire de l'ordre de 14'000 fr. par mois, voire compenser le montant versé en trop dans le cadre de la liquidation du régime matrimonial; Qu'au vu de ce qui précède,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 PAR CES MOTIFS, La Chambre civile : Statuant sur suspension de l'exécution : Rejette la requête d'A______ tendant à la suspension de l'effet exécutoire attaché aux chiffres 1 et 4 du dispositif du jugement JTPI/3661/2015 rendu le 20 mars 2015 par le Tribunal de première instance dans la procédure C/18329/2014-3. Dit qu'il sera statué sur les frais et dépens de la présente décision avec la décision sur le fond. Siégeant : Madame Florence KRAUSKOPF, présidente; Madame Audrey MARASCO, greffière. La présidente de la Chambre civile: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