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C/1828/2013 vom 26. September 2014</w:t>
      </w:r>
    </w:p>
    <w:p>
      <w:r>
        <w:t>GE Cour de justice, 2014-09-26, FR</w:t>
      </w:r>
    </w:p>
    <w:p>
      <w:r>
        <w:rPr>
          <w:b/>
        </w:rPr>
        <w:t xml:space="preserve">Quelle: </w:t>
      </w:r>
      <w:r>
        <w:t>https://mcp.opencaselaw.ch/entscheid/ge_gerichte_C_1828_2013</w:t>
      </w:r>
    </w:p>
    <w:p>
      <w:r>
        <w:t>FR: GE_GERICHTE C/1828/2013 du 26 septembre 2014</w:t>
      </w:r>
    </w:p>
    <w:p>
      <w:r>
        <w:t>IT: GE_GERICHTE C/1828/2013 del 26 settembre 2014</w:t>
      </w:r>
    </w:p>
    <w:p>
      <w:pPr>
        <w:pStyle w:val="Heading2"/>
      </w:pPr>
      <w:r>
        <w:t>Regeste</w:t>
      </w:r>
    </w:p>
    <w:p>
      <w:r>
        <w:t>DIVORCE; CONJOINT; ENFANT; OBLIGATION D'ENTRETIEN | CC.276; CC.285; CC.125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formé en temps utile par une personne qui y a intérêt (art. 59 al. 2 let. a CPC), et en présence d'une affaire portant sur des conclusions, qui, capitalisées selon l'art. 92 al. 2 CPC, sont supérieures à 10'000 fr., l'appel est recevable à la forme (art. 130, 131 et 311 CPC).</w:t>
      </w:r>
    </w:p>
    <w:p>
      <w:r>
        <w:rPr>
          <w:b/>
        </w:rPr>
        <w:t>E. 1.2</w:t>
      </w:r>
    </w:p>
    <w:p>
      <w:r>
        <w:t>La Cour revoit la cause avec un plein pouvoir d'examen (art. 310 CPC) et les maximes inquisitoire et d'office illimitées s'appliquent en ce qui concerne les enfants mineurs et la contribution d'entretien due à ceux-ci (art. 296 al. 1, 55 al. 2 et 58 al. 2 CPC), de sorte que la Cour n'est pas liée par les conclusions des parties sur ce point (art. 296 al. 3 CPC). Bien qu'elle ait été instaurée principalement dans l'intérêt de l'enfant, la maxime inquisitoire doit profiter également au débiteur de l'entretien, lequel a droit à ce que son minimum vital soit préservé (cf. ATF 128 III 411 consid. 3.2.1 et les références citées).</w:t>
      </w:r>
    </w:p>
    <w:p>
      <w:r>
        <w:rPr>
          <w:b/>
        </w:rPr>
        <w:t>E. 2</w:t>
      </w:r>
    </w:p>
    <w:p>
      <w:r>
        <w:t>Les parties ont produit de nouvelles pièces à l'appui de leurs écritures d'appel.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in JdT 2010 III p. 115 ss, p. 139).</w:t>
      </w:r>
    </w:p>
    <w:p>
      <w:r>
        <w:rPr>
          <w:b/>
        </w:rPr>
        <w:t>E. 2.2</w:t>
      </w:r>
    </w:p>
    <w:p>
      <w:r>
        <w:t>En l'espèce, les pièces nouvelles produites par les parties en appel, en tant que la présente cause concerne notamment des enfants mineurs et les contributions d'entretien qui leur sont dues, sont recevables.</w:t>
      </w:r>
    </w:p>
    <w:p>
      <w:r>
        <w:rPr>
          <w:b/>
        </w:rPr>
        <w:t>E. 3</w:t>
      </w:r>
    </w:p>
    <w:p>
      <w:r>
        <w:t>L'appelant conteste le montant des contributions d'entretien dues à chacun de ses enfants, qu'il estime trop élevé.</w:t>
      </w:r>
    </w:p>
    <w:p>
      <w:r>
        <w:rPr>
          <w:b/>
        </w:rPr>
        <w:t>E. 3.1</w:t>
      </w:r>
    </w:p>
    <w:p>
      <w:r>
        <w:t>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ATF 123 III 1 consid. 3b/bb et consid. 5). La quotité de la contribution dépend également des ressources financières du parent qui a obtenu la garde (arrêt du Tribunal fédéral 5A.62/2007 du 24 août 2007 consid. 6.1). Ainsi, dans certaines circonstances, il est possible d'exiger du parent gardien qu'il contribue à l'entretien de l'enfant, en sus des soins et de l'éducation, par des prestations en argent (ATF 120 II 285 consid. 3a/cc; arrêt du Tribunal fédéral 5A_766/2010 du 30 mai 2011 consid. 4.2.1).</w:t>
      </w:r>
    </w:p>
    <w:p>
      <w:r>
        <w:rPr>
          <w:b/>
        </w:rPr>
        <w:t>E. 3.2</w:t>
      </w:r>
    </w:p>
    <w:p>
      <w:r>
        <w:t>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 maladie, etc.) (arrêt du Tribunal fédéral 5C.107/2005 du 13 avril 2006 consid. 4.2.1).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 méthodes de calcul, montant, durée et limites, in SJ 2007 p. 77 ss, note 140 p. 102).</w:t>
      </w:r>
    </w:p>
    <w:p>
      <w:r>
        <w:rPr>
          <w:b/>
        </w:rPr>
        <w:t>E. 3.3</w:t>
      </w:r>
    </w:p>
    <w:p>
      <w:r>
        <w:t>En l'espèce, afin de fixer le montant de la contribution due pour l'entretien des enfants, il convient de déterminer le montant de leurs ressources, le coût d'entretien de chacun d'entre eux, ainsi que la capacité contributive du débirentier. Même si l'on fixe simultanément les contributions pour conjoint et enfants, il faut répartir entre eux le coût du logement. La part de l'enfant au logement correspond à un pourcentage du loyer total, soit 30% du loyer pour deux enfants. Il sera également tenu compte du fait que E______ habite chez l'intimée (à hauteur de 15%), cette dernière conservant ainsi à sa charge les 55% du loyer restant (100% – [3 x 15%]).</w:t>
      </w:r>
    </w:p>
    <w:p>
      <w:r>
        <w:rPr>
          <w:b/>
        </w:rPr>
        <w:t>E. 3.3.1</w:t>
      </w:r>
    </w:p>
    <w:p>
      <w:r>
        <w:t>En ce qui concerne C______, l'intimée n'a pas précisément contesté les allégations de l'appelant selon lesquelles celle-ci avait commencé une formation, se limitant à contester la force probante du document produit pour attester du salaire perçu par celle-ci. La Cour retiendra à cet égard qu'il convient de prendre en compte, à l'instar du Tribunal, le montant des allocations familiales auxquelles l'enfant en formation peut prétendre puisqu'elle est encore en formation, mais qu'il n'est pas établi qu'elle touche un salaire d'apprenti ni quel en est le montant. Les revenus de C______ doivent donc être fixés à 1'306 fr., soit 906 fr. de rente AI, ainsi que 400 fr. d'allocations familiales. Les charges incompressibles de C______ s'élèvent à 1'250 fr. 40 par mois, soit 600 fr. de montant de base OP, 220 fr. 35 de part de loyer ([2'294 fr. de loyer - 825 fr. d'allocation au logement (pièces 39, 40 et 56 intimée)] x 15%), 151 fr. 05 de prime d'assurance-maladie et accident, 50 fr. de frais médicaux non remboursés, 184 fr. de traitement orthodontique (8'836 fr. 70 / 48 mois) et 45 fr. de frais de transports publics. Les ressources de C______ permettent ainsi de couvrir ses charges.</w:t>
      </w:r>
    </w:p>
    <w:p>
      <w:r>
        <w:rPr>
          <w:b/>
        </w:rPr>
        <w:t>E. 3.3.2</w:t>
      </w:r>
    </w:p>
    <w:p>
      <w:r>
        <w:t>Pour D______, l'intimée perçoit 906 fr. de rente AI, ainsi que 400 fr. d'allocations familiales, soit au total 1'306 fr. Les charges incompressibles de D______ s'élèvent à 1'451 fr. 25, soit 600 fr. de montant de base OP, 220 fr. 35 de part de loyer ([2'294 fr. de loyer – 825 fr. d'allocation au logement] x 15 %), 124 fr. 65 de prime d'assurance-maladie et accident, 50 fr. de frais médicaux non remboursés, 26 fr. 25 pour les cours de judo ([105 fr. x 3] / 12), 201 fr. pour les cours de soutien ([67 heures x 30 € / 12] avec un taux de change utilisé de 1 EUR = 1 fr. 20), 184 fr. de traitement orthodontique pour D______ (8'831 fr. / 48 mois) et 45 fr. de frais de transports publics. Le déficit mensuel de D______ est ainsi de 145 fr. 25.</w:t>
      </w:r>
    </w:p>
    <w:p>
      <w:r>
        <w:rPr>
          <w:b/>
        </w:rPr>
        <w:t>E. 3.4</w:t>
      </w:r>
    </w:p>
    <w:p>
      <w:r>
        <w:t>L'appelant bénéficie d'un revenu mensuel net de 6'370 fr. 80. Ses charges mensuelles s'élèvent à 3'891 fr. 25 par mois, soit 1'200 fr. de montant de base OP, 1'524 fr. de loyer, 360 fr. 15 de prime d'assurance-maladie LAMAL, 651 fr. 45 d'impôts ICC, 47 fr. 85 d'impôts IFD, 37 fr. 80 de prime d'assurance-ménage (453 fr. 90 / 12) et 70 fr. de frais de transports publics. Le contrat de bail conclu par l'ex-compagne de l'appelant et la copie de son permis d'établissement démontrent que celle-ci s'est établie dans son propre appartement et que, dès lors, elle ne forme plus une communauté de toit avec l'appelant justifiant un partage par moitié de sa charge de loyer. Les documents produits par l'intimée, soit l'attestation du contrôle de l'habitant du 16 mai 2014 et le constat d'huissier du 28 mai 2014, ne sont en effet pas déterminants, dans la mesure où le nouveau bail n'a pris effet que le 16 mai 2014, de sorte qu'il était normal que le changement ne soit pas encore effectif auprès du contrôle de l'habitant le même jour et que le nom figure encore, le 28 mai 2014, sur son ancienne boite aux lettres. Le montant de base OP qui lui est applicable est désormais celui d'un débiteur vivant seul, à savoir 1'200 fr. par mois, et l'entier des frais de loyer de l'appartement dans lequel il vit sera pris en compte dans ses charges. Il est également tenu compte de la baisse de sa charge d'impôt que celui-ci a calculée sur la base de son revenu effectif pour l'année 2013. Par contre, il n'allègue ni ne prouve avoir eu des frais médicaux non remboursés ou avoir payé la franchise de l'assurance-maladie; le poste de 50 fr. qu'il réclame sans justificatif sera donc écarté. Au vu de ses charges et de son revenu, le disponible de l'appelant s'élève à 2'479 fr. 55 par mois.</w:t>
      </w:r>
    </w:p>
    <w:p>
      <w:r>
        <w:rPr>
          <w:b/>
        </w:rPr>
        <w:t>E. 3.5</w:t>
      </w:r>
    </w:p>
    <w:p>
      <w:r>
        <w:t>Dans ses écritures d'appel, l'appelant s'est engagé à verser, au titre de contribution à l'entretien de chacun de ses enfants, une somme de 400 fr. jusqu'à leur majorité, voire au-delà, mais au plus tard jusqu'à l'âge de 25 ans, en cas de formation professionnelle ou d'études sérieuses et régulières. Ces montants, qui permettent de couvrir les charges incompressibles des deux enfants, sont adéquats afin de compléter les ressources financières perçues par l'intimée pour chacun des enfants. En effet, chacun des enfants disposera, ce faisant, d'un montant supérieur à celui alloué par les tabelles zurichoises 2013 pour un mineur de plus de treize ans, dans une fratrie de trois enfants (soit 1'665 fr. par mois et par enfant). Il sera ainsi donné acte à l'appelant de son engagement.</w:t>
      </w:r>
    </w:p>
    <w:p>
      <w:r>
        <w:rPr>
          <w:b/>
        </w:rPr>
        <w:t>E. 4</w:t>
      </w:r>
    </w:p>
    <w:p>
      <w:r>
        <w:t>L'appelant conteste encore le montant de la contribution d'entretien allouée à l'intimée. En particulier, il fait grief au premier juge de ne pas avoir tenu compte de la situation de l'intimée durant la période de dix ans de séparation précédant le prononcé du divorce, pour fixer la contribution à son entretien. 4.1.1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ATF 134 III 145 consid. 4). 4.1.2 En l'espèce, le mariage a duré douze ans jusqu'à la séparation des parties, respectivement vingt-trois ans jusqu'au prononcé du divorce, et les parties ont eu trois enfants. Il a donc influencé concrètement la situation des conjoints. Il faut ainsi déterminer si l'intimée, âgée de 46 ans et invalide à 100%, peut pourvoir à son entretien convenable et, dans la négative, à quelle hauteur doit intervenir une contribution post-divorce.</w:t>
      </w:r>
    </w:p>
    <w:p>
      <w:r>
        <w:rPr>
          <w:b/>
        </w:rPr>
        <w:t>E. 4.2</w:t>
      </w:r>
    </w:p>
    <w:p>
      <w:r>
        <w:t>L'intimée touche des rentes pour un total de 2'824 fr. 60. Ses charges incompressibles s'élèvent à 3'011 fr. 85 par mois, soit 1'350 fr. de montant de base OP, 807 fr. 95 de part de loyer ([2'294 fr. de loyer - 825 fr. d'allocation au logement] x 55% [afin de tenir compte de la part de loyer de ses trois enfants]), 166 fr. 55 d'impôts ICC (1'998 fr. 45 / 12), 9 fr. 85 (d'impôts IFD (118 fr. / 12), 523 fr. 95 de prime d'assurance-maladie et accident, 50 fr. de frais médicaux non remboursés, 33 fr. 55 d'assurance-ménage et RC (402 fr. 41 / 12) et 70 fr. de frais de transports publics. Les postes allégués par l'intimée pour la redevance Billag et pour ses frais d'électricité sont compris dans son entretien de base et seront donc écartés. Compte tenu de ses propres revenus et de ses charges, l'intimée a un déficit mensuel de 187 fr. 25.</w:t>
      </w:r>
    </w:p>
    <w:p>
      <w:r>
        <w:rPr>
          <w:b/>
        </w:rPr>
        <w:t>E. 4.3</w:t>
      </w:r>
    </w:p>
    <w:p>
      <w:r>
        <w:t>Au vu du niveau de vie des parties pendant le mariage et, également, de la situation qui a prévalu depuis la séparation des époux, la contribution de 800 fr. par mois allouée par le Tribunal paraît légèrement trop élevée. Un montant de 600 fr. par mois est suffisant pour permettre à l'intimée de couvrir son déficit mensuel. Ce montant paraît également adéquat au regard du fait que, après versement des contributions pour ses enfants et pour l'intimée, l'appelant bénéficiera d'un solde disponible d'environ 1'000 fr. lui permettant de contribuer à l'entretien de la fille aînée des parties, E______, à hauteur de 400 fr. par mois, jusqu'à la fin de sa formation. L'appelant sera donc condamné à verser à l'intimée la somme de 600 fr. par mois à titre de contribution à son entretien. La durée de cette obligation, fixée par le Tribunal à l'âge de la retraite de l'intimée, n'a été contestée par aucune des parties et sera par conséquent confirmée.</w:t>
      </w:r>
    </w:p>
    <w:p>
      <w:r>
        <w:rPr>
          <w:b/>
        </w:rPr>
        <w:t>E. 5</w:t>
      </w:r>
    </w:p>
    <w:p>
      <w:r>
        <w:t>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Les frais et dépens de première instance ne sont pas contestés, de sorte qu'ils seront sans autre confirmés.</w:t>
      </w:r>
    </w:p>
    <w:p>
      <w:r>
        <w:rPr>
          <w:b/>
        </w:rPr>
        <w:t>E. 5.2</w:t>
      </w:r>
    </w:p>
    <w:p>
      <w:r>
        <w:t>Les frais judiciaires de la procédure d'appel sont fixés à 1'250 fr. (art. 30 et 35 RTFMC), l'avance du même montant fournie par l'appelant restant acquise à l'Etat (art. 111 al. 1 CPC), et mis à charge des parties par moitié, pour des motifs d'équité liés à la nature du litige, ainsi que conformément aux conclusions de l'appelant. L'intimée sera par conséquent condamnée à rembourser 625 fr. à l'appelant. Pour les mêmes motifs, chaque partie supportera ses propres dépens (art. 107 al. 1 let. c CPC).</w:t>
      </w:r>
    </w:p>
    <w:p>
      <w:r>
        <w:rPr>
          <w:b/>
        </w:rPr>
        <w:t>E. 6</w:t>
      </w:r>
    </w:p>
    <w:p>
      <w:r>
        <w:t>Le présent arrêt est susceptible d'un recours en matière civile au Tribunal fédéral (art. 72 al. 1 LTF), la valeur litigieuse étant supérieure à 30'000 fr. au sens de l'art. 74 al. 1 let. b LTF. PAR CES MOTIFS, La Chambre civile : A la forme : Déclare recevable l'appel interjeté le 10 avril 2014 par A______ contre les chiffres 6 et 7 du jugement JTPI/3156/2014 rendu le 7 mars 2014 par le Tribunal de première instance dans la cause C/1828/2013-2. Au fond : Annule les chiffres 6 et 7 du dispositif du jugement entrepris et statuant à nouveau sur ce point : Condamne A______ à verser, en mains de B______, à titre de contribution à l'entretien des enfants, par mois, d'avance et par enfant, allocations familiales non comprises, la somme de 400 fr. jusqu'à leur majorité, voire au-delà, mais au plus tard jusqu'à l'âge de 25 ans, en cas de formation professionnelle ou d'études sérieuses et régulières. Condamne A_______ à verser la somme de 600 fr. par mois à titre de contribution à l'entretien de B______, jusqu'à ce que cette dernière ait atteint l'âge de la retraite. Déboute les parties de toutes autres conclusions. Sur les frais : Arrête les frais judiciaires d'appel à 1'250 fr., avance du même montant fournie par l'appelant restant acquis à l'état, et les met à la charge des parties à parts égales entre elles. Condamne en conséquence B______ à verser 625 fr. à A_______. Dit que chaque partie supporte ses propres dépens. Siégeant : Monsieur Jean-Marc STRUBIN, président; Madame Sylvie DROIN,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