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C/18265/2020 vom 27. Februar 2023</w:t>
      </w:r>
    </w:p>
    <w:p>
      <w:r>
        <w:t>GE Cour de justice, 2023-02-27, FR</w:t>
      </w:r>
    </w:p>
    <w:p>
      <w:r>
        <w:rPr>
          <w:b/>
        </w:rPr>
        <w:t xml:space="preserve">Quelle: </w:t>
      </w:r>
      <w:r>
        <w:t>https://mcp.opencaselaw.ch/entscheid/ge_gerichte_C_18265_2020</w:t>
      </w:r>
    </w:p>
    <w:p>
      <w:r>
        <w:t>FR: GE_GERICHTE C/18265/2020 du 27 février 2023</w:t>
      </w:r>
    </w:p>
    <w:p>
      <w:r>
        <w:t>IT: GE_GERICHTE C/18265/2020 del 27 febbraio 2023</w:t>
      </w:r>
    </w:p>
    <w:p>
      <w:pPr>
        <w:pStyle w:val="Heading2"/>
      </w:pPr>
      <w:r>
        <w:t>Erwägungen</w:t>
      </w:r>
    </w:p>
    <w:p>
      <w:r>
        <w:rPr>
          <w:b/>
        </w:rPr>
        <w:t>E. 2</w:t>
      </w:r>
    </w:p>
    <w:p>
      <w:r>
        <w:t>2.1 Dans un premier grief, l'appelante se plaint d'une constatation inexacte des faits. Elle considère que le Tribunal aurait dû retenir que par l'achat « en bloc » des immeubles sis rue 1______ 3 à 13 et de la liquidation de F______, l'appelante avait bénéficié d'un prix d'acquisition préférentiel, de sorte que si elle avait dû acheter chaque immeuble individuellement à la valeur du marché d'alors, leur prix aurait été d'au moins 25% supérieur. En ce sens, les coûts d'investissement de l'immeuble sis rue 1______ 13 qu'il conviendrait de prendre en considération dans le cadre du calcul de rendement net serait d'au moins 7'054'687 fr. 50 (soit 33'862'500 fr. divisé par 6, montant auquel s'ajouterait le taux de 25%). Elle reproche en outre au Tribunal de ne pas avoir retenu le fait que les immeubles sis rue 1______ 3 à 13 ne présentent pas tous une composition identique, de sorte que dans le calcul du rendement net, la ventilation ne pouvait pas se faire à l'échelle de l'entier du bloc, mais devait être établie immeuble par immeuble.</w:t>
      </w:r>
    </w:p>
    <w:p>
      <w:r>
        <w:rPr>
          <w:b/>
        </w:rPr>
        <w:t>E. 2.2</w:t>
      </w:r>
    </w:p>
    <w:p>
      <w:r>
        <w:t>En l'espèce, il ressort explicitement du jugement entrepris que les immeubles précités ont été acquis par l'appelante dans la liquidation extraordinaire de F______, et qu'il s'agit d'un achat « en bloc ». Concernant le taux majoré de 25% que l'appelante considère applicable en l'espèce, il ne s'agit que de simples allégations de cette dernière, et non de faits pertinents qui auraient dû être relevés par le Tribunal. En effet, cela ressort des allégués de première instance 6 et 7 de l'appelante, lesquels sont fondés sur la pièce 8 des intimés, soit une réquisition pour le registre foncier concernant l'achat du 17 décembre 2002. Or, il ne ressort nullement de cette pièce les faits allégués par l'appelante. L'appelante n'a ainsi pas démontré la réalité de ses allégations, de sorte que celles-ci ne pouvaient être retenues par le Tribunal comme étant des faits démontrés. De même pour la composition des immeubles précités ; l'appelante a uniquement versé à la procédure l'état locatif caviardé de l'immeuble sis rue 1______ 13. Par ordonnance du 3 août 2021, l'appelante a été invitée par le Tribunal à produire toutes les pièces nécessaires et utiles au calcul du rendement net. A ce sujet, son attention avait expressément été attirée sur les conséquences qui pouvaient être tirées de son refus de produire ces pièces, à savoir l'indice qu'elle cachait un rendement excessif. De plus, l'appelante n'a ni allégué, et encore moins démontré, que les cinq autres immeubles ne seraient pas composés de manière identique à celui dont est litige. L'état de faits ci-dessus a été précisé en ce sens. Pour le surplus, le Tribunal a valablement analysé la situation sur la base des pièces qui avaient été produites, et a correctement établi les faits de la présente cause.</w:t>
      </w:r>
    </w:p>
    <w:p>
      <w:r>
        <w:rPr>
          <w:b/>
        </w:rPr>
        <w:t>E. 3</w:t>
      </w:r>
    </w:p>
    <w:p>
      <w:r>
        <w:t>L'appelante reproche ensuite au Tribunal la violation de son droit d'être entendue à plusieurs égards. Selon elle, le Tribunal n'aurait pas exposé les motifs pour lesquels il a considéré que les conditions pour opérer un correctif au prix d'acquisition n'étaient pas réalisées en l'espèce. De la même manière, l'autorité précédente n'aurait pas exposé les raisons pour lesquelles elle a décidé d'écarter la clé de répartition proposée par la bailleresse, ni exposé les fondements sur lesquels elle s'est fondée pour retenir une forme de linéarité dans la question de la prime à l'étage. ![endif]&gt;![if&gt;</w:t>
      </w:r>
    </w:p>
    <w:p>
      <w:r>
        <w:rPr>
          <w:b/>
        </w:rPr>
        <w:t>E. 3.1</w:t>
      </w:r>
    </w:p>
    <w:p>
      <w:r>
        <w:t>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Une motivation insuffisante constitue une violation du droit d'être entendu, que la juridiction supérieure peut librement examiner aussi bien en appel que dans le cadre d'un recours au sens des art. 319 ss CPC (Tappy, in Commentaire romand du Code de procédure civile, 2 ème éd., 2019, n. 7 ad art. 238 CPC et n. 18 ad art. 239 CPC).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références; arrêt du Tribunal fédéral 5A_381/2020 du 1er septembre 2020 consid. 3.1).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et qu'il n'en résulte aucun préjudice pour le justiciable (ATF 136 III 174).</w:t>
      </w:r>
    </w:p>
    <w:p>
      <w:r>
        <w:rPr>
          <w:b/>
        </w:rPr>
        <w:t>E. 3.2</w:t>
      </w:r>
    </w:p>
    <w:p>
      <w:r>
        <w:t>En l'espèce, quand bien même la motivation du Tribunal est succincte, elle est suffisante et l'appelante a été en mesure d'attaquer la décision. En tout état, la Cour dispose d'un pouvoir d'examen complet en fait et en droit, de sorte qu'une éventuelle violation du droit d'être entendu pourrait être réparée devant elle.</w:t>
      </w:r>
    </w:p>
    <w:p>
      <w:r>
        <w:rPr>
          <w:b/>
        </w:rPr>
        <w:t>E. 4</w:t>
      </w:r>
    </w:p>
    <w:p>
      <w:r>
        <w:t>L'appelante reproche au Tribunal d'avoir retenu que les conditions pour opérer un correctif au prix d'acquisition au sens de la jurisprudence n'étaient pas réalisées en l'espèce.</w:t>
      </w:r>
    </w:p>
    <w:p>
      <w:r>
        <w:rPr>
          <w:b/>
        </w:rPr>
        <w:t>E. 4.1</w:t>
      </w:r>
    </w:p>
    <w:p>
      <w:r>
        <w:t>Pour déterminer les coûts d'investissement effectifs (ou le prix de revient) de l'immeuble, il convient de prendre en compte le prix d'acquisition et le coût de la construction ou le prix d'achat de l'immeuble construit, ainsi que les travaux à plus-value (à l'exclusion des coûts d'entretien, qui sont intégrés dans les charges, cf. ATF 141 III 245 consid. 6.6 p. 255).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(ATF 142 III 568 consid. 2.1 p. 575 s.; 122 III 257 consid. 3b/bb p. 259 s.). Un prix d'achat manifestement exagéré doit être réduit au prix normal (cf. art. 269 i.f. CO et art. 10 OBLF; ATF 125 III 421 consid 2b p. 423; arrêt du Tribunal fédéral 4A_465/2015 du 1 er mars 2016 consid. 4.2). La jurisprudence admet un correctif au prix d'acquisition lorsque le bailleur a acquis le bien à un prix préférentiel, par exemple dans le cadre d'une donation mixte, au motif que l'avantage consenti à celui-ci est destiné exclusivement à le favoriser lui, et non pas ses locataires. Dans un tel cas, le calcul de rendement peut se fonder sur la valeur du marché au moment de l'acquisition (arrêts du Tribunal fédéral 4C_285/2005 du 18 janvier 2006 consid. 2.5; 4C_234/1994 du 6 décembre 1994 consid. 3a, approuvé par Beat Rohrer, MRA 2/95, p. 78; plus récemment 4A_276/2011 du 11 octobre 2011 consid. 5.2.4). En d'autres termes, lorsque le bailleur a reçu l'immeuble en donation ou s'il l'a acheté à un parent à un prix de faveur (donation mixte), il faut retenir sa valeur effective sur le marché, au jour de la transaction, qui devra être établie par une expertise. Dans cette hypothèse, le prix avantageux est destiné à favoriser le bailleur et non ses locataires. Il ne suffit toutefois pas d'être en présence d'un prix d'achat inférieur au marché (élément objectif) pour qu'on puisse recourir à la valeur vénale, car l'acquéreur peut avoir fait une bonne affaire; il faut qu'une condition supplémentaire soit réalisée, à savoir une libéralité (élément subjectif) de l'aliénateur qui a voulu favoriser l'acquéreur. La preuve de ces éléments est à charge du bailleur (Lachat/Stastny, Le bail à loyer, Lausanne 2019, pp. 539-540; arrêt du Tribunal fédéral 4A_129/2011 du 28 avril 2011, consid. 4.2).</w:t>
      </w:r>
    </w:p>
    <w:p>
      <w:r>
        <w:rPr>
          <w:b/>
        </w:rPr>
        <w:t>E. 4.2</w:t>
      </w:r>
    </w:p>
    <w:p>
      <w:r>
        <w:t>En l'espèce, l'appelante allègue que lors de l'acquisition des immeubles sis rue 1______ 3, 5, 7, 9, 11 et 13 à D______, elle aurait bénéficié d'un prix réduit, en raison de deux éléments : d'une part, la faillite de F______, et d'autre part, car l'achat portait sur des immeubles « en bloc ». Or, les deux éléments précités ne réalisent nullement les conditions d'application du principe du correctif applicable au prix d'acquisition susmentionné. En effet, il ne s'agit pas d'un cas dans lequel l'appelante aurait acquis les immeubles à un prix de faveur. Il convient de souligner de plus qu'au niveau des faits, l'appelante n'a pas même allégué que F______ aurait voulu la faire profiter d'un tel prix de faveur. Il s'agit ici simplement d'une éventuelle bonne affaire, suite à la faillite du vendeur, grâce à laquelle l'appelante a pu acquérir le bloc d'immeubles litigieux à un prix de 32'250'000 fr. Ainsi, le Tribunal a retenu à raison que les conditions pour opérer un correctif du prix d'acquisition au sens de la jurisprudence n'étaient pas réalisée en l'espèce, « [e]n dépit des allégations de la bailleresse à ce propos ». Dès lors, ce grief sera écarté.</w:t>
      </w:r>
    </w:p>
    <w:p>
      <w:r>
        <w:rPr>
          <w:b/>
        </w:rPr>
        <w:t>E. 5</w:t>
      </w:r>
    </w:p>
    <w:p>
      <w:r>
        <w:t>L'appelante reproche au Tribunal la clé de répartition retenue.</w:t>
      </w:r>
    </w:p>
    <w:p>
      <w:r>
        <w:rPr>
          <w:b/>
        </w:rPr>
        <w:t>E. 5.1</w:t>
      </w:r>
    </w:p>
    <w:p>
      <w:r>
        <w:t>Le calcul du rendement net au sens de l'art.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 d'immeubles (ATF 125 III 421 consid. 2d p. 424 s.; ATF 120 II 100 consid. 6c p. 104 s.). En effet, en cas de disparité entre les loyers des différents appartements ou locaux, résultant par exemple de hausses de loyer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(arrêts du Tribunal fédéral 4A_554/2019 du 26 octobre 2019, consid. 7.1; 4A_239/2018 du 19 février 2019 consid. 5.2 et les références citées). Les comptes sont, en règle générale, établis par immeuble. Ils n'individualisent pas les charges relatives à tel logement ou local commercial. De ce fait, il y a lieu de ventiler les comptes objet par objet, selon la clé de répartition applicable aux propriétés par étages (arrêt du Tribunal fédéral 4A_2019/2007 du 26 novembre 2007, consid. 3.2), au prorata du nombre de pièces (ATF 116 II 184 consid. 3b), ou en fonction de la surface des logements (ATF 116 II 84 consid. 3b), de leur volume (ATF 120 II 100 consid. 6c), voire de leur valeur d'assurance (arrêt du Tribunal fédéral 4A_35/2008 du 13 juin 2008, consid. 4.1) ou du pourcentage que représente le loyer en cause par rapport à l'état locatif, avant majoration (Lachat/Stastny, op cit. , p. 533). Lorsque l'immeuble comprend des parkings ou des locaux commerciaux, il convient de les retrancher de l'état locatif global de l'immeuble (sur la base du dernier état locatif de l'immeuble), pour obtenir le rendement admissible pour les seuls logements (arrêt du Tribunal fédéral 4A_239/2018 précité; ACJC/127/1998 du 16 février 1998; ACJC/398/2000 du 10 avril 2000). Par ailleurs, lorsque les loyers d'un immeuble présentent des disparités, au-delà de ce qui apparaît justifié par une prime à l'étage, l'état locatif admissible doit être ventilé entre les divers appartements et locaux, selon les clés de répartition usuelles pour les immeubles constitués en propriété d'étages, généralement au prorata de la surface, du volume des logements ou du nombre de pièces. Lorsque la clé de répartition choisie par le bailleur ne répercute pas les coûts selon ces principes, elle est insoutenable et le juge appliquera le système qu'il jugera équitable (ATF 116 II 184 ; arrêt du Tribunal fédéral 4A_239/2018 précité; Bohnet/Carron/Montini, Droit du bail à loyer et à ferme, 2017, n. 12ss ad art. 269 CO). Pour choisir l'une de ces différentes clés de répartition, le juge dispose d'un large pouvoir d'appréciation, car aucune d'entre elles n'est parfaite (ATF 125 III 421 consid. 2d).</w:t>
      </w:r>
    </w:p>
    <w:p>
      <w:r>
        <w:rPr>
          <w:b/>
        </w:rPr>
        <w:t>E. 5.2</w:t>
      </w:r>
    </w:p>
    <w:p>
      <w:r>
        <w:t>En l'espèce, l'appelante a, en première instance, proposé de ventiler le rendement admissible selon la valeur donnée aux différents étages de l'immeuble, en alléguant que l'on ne saurait considérer qu'un logement situé au rez-de-chaussée aurait la même valeur qu'un appartement situé au sixième étage d'un immeuble. Ainsi, l'appelante a proposé de considérer que les étages n. 1 à 4 de l'immeuble litigieux représentaient le 40% de son rendement, soit 10% par étage, que le cinquième étage représentait le 15% du rendement, et que finalement, les 6 ème et 7 ème étages représentaient quant à eux le 45% du rendement de l'immeuble restant, soit 22,5% par étage. De plus, l'appelante a relevé que chaque étage comportait trois appartements, dont les surfaces étaient de 50 m 2 , de 76 m 2 , et de 90 m 2 , soit un total de 216 m 2 ; la surface de l'appartement dont est litige étant de 90 m 2 , celui-ci représentait ainsi le 41.7% de l'étage. Ainsi, selon la ventilation appliquée par l'appelante, le loyer admissible annuel du logement litigieux, parking compris, serait de 30'700 fr. 85. A juste titre, le Tribunal a relevé que la clé de répartition proposée par l'appelante ne tenait pas compte de la ventilation devant être opérée entre les appartements et les places de parking - qui est pourtant exigée par la jurisprudence fédérale susmentionnée - raison pour laquelle l'appelante n'a pas été suivie par l'autorité précédente. En outre, l'autorité précédente a souligné l'absence de production d'un état locatif complet par l'appelante, comportant en particulier les loyers pratiqués pour les parkings. S'agissant du calcul de la prime à l'étage proposé par l'appelante, le Tribunal a relevé que celui-ci ne saurait être appliqué, dans la mesure où il n'est pas linéaire et ne repose sur aucun fondement objectif. En effet, l'appelante ne s'est fondée sur aucune disposition légale, jurisprudence, ou avis doctrinal pour étayer le calcul qui selon elle devait être appliqué en l'espèce pour prendre en considération le fait que le logement litigieux est situé au 6 ème étage de l'immeuble. Il s'agit ainsi simplement d'une proposition de l'appelante. Le Tribunal n'était pas tenu de la suivre, vu l'absence de tout fondement juridique de celle-ci. Le Tribunal a tout de même admis une prime à l'étage, en faisant usage de son pouvoir d'appréciation : il a en effet procédé à un calcul ex aequo et bono , en augmentant le montant obtenu au terme de la pondération pour le loyer d'un logement sis au 4 ème étage, en le majorant de 2 fr. par m 2 , et par étage. Par conséquent, le jugement attaqué n'est nullement vicié. Il sera confirmé sur ce point.</w:t>
      </w:r>
    </w:p>
    <w:p>
      <w:r>
        <w:rPr>
          <w:b/>
        </w:rPr>
        <w:t>E. 6</w:t>
      </w:r>
    </w:p>
    <w:p>
      <w:r>
        <w:t>Finalement, l'appelante soutient que le Tribunal aurait tenu un raisonnement manifestement erroné. En ce sens, elle fait valoir que vu les disparités existantes entre les différents immeubles sis rue 1______ 3, 5, 7, 9, 11 et 13, le calcul du rendement admissible de la chose louée aurait dû être établi immeuble par immeuble, et non à l'échelle de l'entier du bloc. ![endif]&gt;![if&gt;</w:t>
      </w:r>
    </w:p>
    <w:p>
      <w:r>
        <w:rPr>
          <w:b/>
        </w:rPr>
        <w:t>E. 6.1</w:t>
      </w:r>
    </w:p>
    <w:p>
      <w:r>
        <w:t>Le calcul du rendement net au sens de l'art.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 d'immeubles (ATF 125 III 421 consid. 2d p. 424 s.; 120 II 100 consid. 6c p. 104 s.). En effet, en cas de disparité entre les loyers des différents appartements ou locaux, résultant par exemple de hausses de loyers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(arrêts du Tribunal fédéral 4A_554/2019 du 26 octobre 2020 consid. 7.1; 4A_239/2018 précité consid. 5.2 et les références citées). Il appartient certes au locataire de prouver que le loyer convenu procure au bailleur un rendement excessif (ATF 124 III 310 consid. 2). Mais selon les principes généraux tirés des règles de la bonne foi, la partie qui n'a pas la charge de la preuve (i. e. le bailleur) doit néanmoins collaborer loyalement à l'administration des preuves et fournir les éléments qu'elle est seule à détenir (ATF 142 III 568 consid. 2.1 p. 576; 115 II 1 consid. 4; arrêts du Tribunal fédéral 4A_17/2017 du 7 septembre 2017 consid. 2.2 et les arrêts cités; 4A_461/2015 du 15 février 2016 consid. 3.2 et 3.3; 4A_3/2011 du 28 février 2011 consid. 4). Dès lors que le bailleur détient seul les documents permettant un calcul de rendement, on peut donc attendre de lui qu'il les produise (arrêts du Tribunal fédéral 4A_3/2011 du 28 février 2011, ibidem ; 4C.61/2005 du 27 mai 2005 consid. 4.3.2, in SJ 2006 I p. 34). En règle générale, le bailleur devra remettre les documents suivants, de manière ordonnée (arrêt du Tribunal fédéral 5C.134/2004 du 1 er octobre 2004, consid. 2.2) et facilement compréhensible (arrêt du Tribunal fédéral 4A_397/2013 du 11 février 2014, consid. 4.2) : (1) l'acte d'achat de l'immeuble ou un récapitulatif de son coût de revient, avec des précisions sur la quotité des fonds empruntés et des fonds propres; si l'immeuble est propriété d'une société anonyme, les bilans; (2) l'état des charges immobilières, pour un nombre d'exercices suffisant, afin de permettre l'établissement de moyennes; si l'immeuble est propriété d'une société anonyme, le bailleur en produira les comptes de pertes et profits; (3) l'état locatif de l'immeuble, c'est-à-dire la liste des loyers qui y sont pratiqués; (4) en cas de disparités dans l'état locatif, le cahier de répartition de l'immeuble ou tout autre document permettant de déterminer la quote-part du tout que représente le local commercial ou le logement en cause (Lachat/Stastny, op cit. , p. 535). Le bailleur est tenu de conserver les pièces comptables depuis la fin de l'année 1980. Il ne peut donc se prévaloir du fait qu'il n'a pas conservé les documents après dix ans (ATF 140 III 433 consid. 3.1.2, JdT 2016 II 363). Dans l'appréciation des preuves, le juge peut tenir compte des manquements d'un bailleur, surtout d'un professionnel, qui n'a pas sauvegardé les documents utiles au calcul de rendement (ATF 142 III 568 consid. 2.1).</w:t>
      </w:r>
    </w:p>
    <w:p>
      <w:r>
        <w:rPr>
          <w:b/>
        </w:rPr>
        <w:t>E. 6.2</w:t>
      </w:r>
    </w:p>
    <w:p>
      <w:r>
        <w:t>En l'espèce, l'appelante ne démontre pas en quoi le Tribunal aurait violé le droit en procédant au calcul du loyer annuel maximum admissible par m 2 , en se fondant sur la surface totale des appartements des immeubles, soit 8'652 m 2 , puis en rapportant le montant ainsi obtenu, au nombre de m 2 du logement litigieux. L'appelante allègue simplement que le Tribunal aurait dû prendre en considération les spécificités et caractéristiques de chaque immeuble, mais relève ensuite qu'il aurait suffi de diviser les coûts d'investissement par six, afin d'obtenir le montant applicable à un seul des immeubles. Dès lors, l'on voit mal en quoi le calcul proposé par l'appelante prendrait en considération les éventuelles disparités entre chaque immeuble, alléguées nouvellement par cette dernière. De toute évidence, il sied de relever que c'est l'appelante qui avait la charge de fournir les éléments nécessaires au calcul de rendement conformément à une jurisprudence bien établie et qui a violé son devoir de collaboration. Elle ne saurait donc reprocher au Tribunal d'avoir ventilé le rendement admissible sur la base du seul critère fourni par elle, soit la surface habitable par m 2 . En effet, l'appelante n'a versé à la procédure qu'un état locatif de l'immeuble sis rue 1______ 13, en ayant pris le soin de caviarder le loyer pratiqué pour chaque logement. Elle a ensuite indiqué avoir acquis six immeubles en un bloc, sans toutefois étayer la composition des cinq autres immeubles. Ainsi, sur la base des éléments disponibles, le Tribunal a calculé la surface totale des appartements des six immeubles litigieux, soit une surface de 8'652 m 2 , afin de pouvoir calculer le loyer maximum admissible pour le logement dont est litige. L'appelante ne saurait reprocher au Tribunal d'avoir procédé de la sorte, se fondant sur le seul document qu'elle produit. Le jugement entrepris sera dès lors confirmé.</w:t>
      </w:r>
    </w:p>
    <w:p>
      <w:r>
        <w:rPr>
          <w:b/>
        </w:rPr>
        <w:t>E. 7</w:t>
      </w:r>
    </w:p>
    <w:p>
      <w:r>
        <w:t>Vu que la cause ne sera pas renvoyée à l'autorité précédente pour complément d'instruction, la Cour ne procédera pas à l'examen de la question de la recevabilité de la conclusion subsidiaire prise par l'intimée dans son mémoire de réponse du 23 juin 2022.</w:t>
      </w:r>
    </w:p>
    <w:p>
      <w:r>
        <w:rPr>
          <w:b/>
        </w:rPr>
        <w:t>E. 8</w:t>
      </w:r>
    </w:p>
    <w:p>
      <w:r>
        <w:t>En application de l'art. 22 al. 1 LaCC, il ne sera pas perçu de frais judiciaires et il ne sera pas alloué de dépens. * * * * * PAR CES MOTIFS, La Chambre des baux et loyers : A la forme : Déclare recevable l'appel interjeté le 27 mai 2022 par la CAISSE DE PREVOYANCE A______ contre le jugement JTBL/295/2022 rendu le 14 avril 2022 par le Tribunal des baux et loyers dans la cause C/18265/2020. Au fond : Confirme ce jugement. Dit que la procédure est gratuite. Déboute les parties de toutes autres conclusions. Siégeant : Madame Nathalie RAPP, présidente; Madame Pauline ERARD et Fabienne GEISINGER-MARIETHOZ, juges; Monsieur Jean-Philippe ANTHONIOZ et Serge PATEK, juges assesseurs; Madame Maïté VALENTE, greffière. La présidente : Nathalie RAPP La greffière : Maïte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