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C/1824/2024 vom 24. Oktober 2024</w:t>
      </w:r>
    </w:p>
    <w:p>
      <w:r>
        <w:t>GE Cour de justice, 2024-10-24, FR</w:t>
      </w:r>
    </w:p>
    <w:p>
      <w:r>
        <w:rPr>
          <w:b/>
        </w:rPr>
        <w:t xml:space="preserve">Quelle: </w:t>
      </w:r>
      <w:r>
        <w:t>https://mcp.opencaselaw.ch/entscheid/ge_gerichte_C_1824_2024</w:t>
      </w:r>
    </w:p>
    <w:p>
      <w:r>
        <w:t>FR: GE_GERICHTE C/1824/2024 du 24 octobre 2024</w:t>
      </w:r>
    </w:p>
    <w:p>
      <w:r>
        <w:t>IT: GE_GERICHTE C/1824/2024 del 24 ottobre 2024</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251let. a et 321 al. 1 et 2 CPC).</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allégations nouvelles du recourant ne sont pas recevables; les conclusions du recourant qui vont au-delà du rejet du recours sont en tout état irrecevables (art. 326 al. 1 CPC). La Cour examinera ainsi la cause sur la base du dossier dont disposait le Tribunal.</w:t>
      </w:r>
    </w:p>
    <w:p>
      <w:r>
        <w:rPr>
          <w:b/>
        </w:rPr>
        <w:t>E. 3</w:t>
      </w:r>
    </w:p>
    <w:p>
      <w:r>
        <w:t>. Le recourant, dans une écriture au caractère prolixe et comportant notamment plusieurs passages inconvenants à l'endroit du Tribunal ainsi que des autorités judiciaires en général, soulève pêle-mêle divers points, dont seuls deux, à bien le comprendre, peuvent être rattachés à des griefs recevables: une violation de l'art. 68 al. 2 CPC, en tant que la procuration en faveur du conseil de l'intimée ne serait pas valable, et une violation du droit d'être entendu en raison d'une absence de motivation du jugement.</w:t>
      </w:r>
    </w:p>
    <w:p>
      <w:r>
        <w:rPr>
          <w:b/>
        </w:rPr>
        <w:t>E. 3.1</w:t>
      </w:r>
    </w:p>
    <w:p>
      <w:r>
        <w:t>Selon l'art. 80 al. 1 LP, le créancier qui est au bénéfice d'un jugement exécutoire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Il appartient au débiteur d'établir que sa dette est éteinte par titre. Contrairement à ce qui vaut pour la mainlevée provisoire (art. 82 al. 2 LP), le poursuivi ne peut se borner à rendre sa libération vraisemblable, il doit, au contraire, en apporter la preuve stricte (ATF 124 III 501 consid. 3a). La preuve du caractère exécutoire incombe au poursuivant. Elle peut résulte d'une attestation de l'autorité qui a statué (arrêt du Tribunal fédéral 5A_389/2018 consid. 2.4). Selon la doctrine, cette attestation n'est pas indispensable lorsque le caractère exécutoire découle de la loi ou des circonstances, en particulier du temps écoulé depuis la notification et du fait que le poursuivi ne prétend pas avoir contesté la décision (abbet/veuillet, La mainlevée de l'opposition, 2 ème éd. 2022, ad art. 80 n. 149 et les références citées).</w:t>
      </w:r>
    </w:p>
    <w:p>
      <w:r>
        <w:rPr>
          <w:b/>
        </w:rPr>
        <w:t>E. 3.2</w:t>
      </w:r>
    </w:p>
    <w:p>
      <w:r>
        <w:t>L'art. 68 al. 1 CPC dispose que toute personne capable d'ester en justice peut se faire représenter au procès. Le représentant doit justifier de ses pouvoirs par une procuration (art. 68 al. 3 CPC). Le Tribunal fédéral a eu l'occasion de préciser que le tribunal saisi peut exiger une procuration spécifique pour la procédure en cours afin de lever le doute quant à la validité de la procuration pour cette procédure (arrêt du Tribunal fédéral 5A_510/2018 du 26 septembre 2018 consid. 3.4.1).</w:t>
      </w:r>
    </w:p>
    <w:p>
      <w:r>
        <w:rPr>
          <w:b/>
        </w:rPr>
        <w:t>E. 3.3</w:t>
      </w:r>
    </w:p>
    <w:p>
      <w:r>
        <w:t>La jurisprudence a déduit du droit d'être entendu, consacré par l'art. 29 al. 2 Cst., le devoir pour le juge de motiver sa décision, afin que le destinataire puisse en saisir la portée, l'attaquer utilement s'il y a lieu, et l'autorité de recours, exercer son contrôle. Pour répondre à ces exigences, il suffit que le juge mentionne, au moins brièvement, les motifs qui l'ont guidé et sur lesquels il a fondé sa décision (ATF 143 IV 40 consid. 3.4.3; 143 III 65 consid. 5.2; 142 I 135 consid. 2.1). Il n'est pas tenu de discuter tous les arguments soulevés par les parties, mais peut se limiter à ceux qui lui paraissent pertinents (ATF 146 II 335 consid. 5.1; 143 III 65 consid. 5.2; 142 II 154 consid. 4.2; 139 IV 179 consid. 2.2). En procédure sommaire, la motivation peut être plus succincte qu'en procédure ordinaire (Mazan, Basler Kommentar, Schweizerische Zivilprozessordnung, 3ème éd., 2017, n. 7 ad art. 256 CPC).</w:t>
      </w:r>
    </w:p>
    <w:p>
      <w:r>
        <w:rPr>
          <w:b/>
        </w:rPr>
        <w:t>E. 3.4</w:t>
      </w:r>
    </w:p>
    <w:p>
      <w:r>
        <w:t>En l'espèce, le recourant n'a apporté aucune démonstration à sa thèse selon laquelle la procuration produite par l'intimée comporterait une signature falsifiée. Le Tribunal était ainsi fondé à ne pas douter de la validité des pouvoirs de l'avocat de l'intimée. S'agissant de la motivation, elle est lapidaire, ce qui n'est pas, en soi, critiquable en procédure sommaire. La mention de "la pièce produite", alors qu'on comprend que sont en réalité visés les différentes décisions de justice déposées par l'intimée référencées dans le commandement de payer, est certes malheureuse mais ne porte pas à conséquence. Il en va de même de la question des pouvoirs de l'avocat de l'intimée (qui avait été soulevée en audience par le recourant, et n'a, il est vrai, été qu'implicitement traitée), puisque l'objection n'était pas pertinente. Pour le surplus, en elles-mêmes, les décisions de justice produites constituent des titres au sens de l'art. 80 LP. L'intimée n'a pas produit d'attestations du caractère exécutoire des décisions précitées, alors qu'il lui aurait appartenu de le faire. Le recourant ne fait toutefois pas valoir et ne démontre pas que les dettes seraient éteintes, pas plus qu'il ne soutient que ces décisions ne seraient pas en force et exécutoires. A cet égard, il sera observé que la première d'entre elles était susceptible d'un recours, non doté d'effet suspensif sauf requête en ce sens (art. 325 CPC), que la deuxième était susceptible d'un appel mais sans effet suspensif automatique s'agissant de mesures provisionnelles (art. 315 al. 4 let. b CPC), que la troisième a été confirmée par la quatrième, décision elle-même susceptible d'un recours au Tribunal fédéral non doté d'effet suspensif (art. 103 al. 2 let. b LTF). Au vu de ce qui précède, le premier juge était fondé à prononcer la mainlevée définitive requise. Le recours sera dès lors rejeté.</w:t>
      </w:r>
    </w:p>
    <w:p>
      <w:r>
        <w:rPr>
          <w:b/>
        </w:rPr>
        <w:t>E. 4</w:t>
      </w:r>
    </w:p>
    <w:p>
      <w:r>
        <w:t>Le recourant, qui succombe, supportera les frais de son recours (art. 106 al. 1 CPC), arrêtés à 800 fr., décision sur effet suspensif comprise (art. 48, 61 OELP), compensés avec l'avance opérée, acquise à l'Etat de Genève (art. 111 al. 1 CPC). Il sera condamné à en rembourser l'intimée. Il versera à l'intimée 500 fr. à titre de dépens de recours, au vu de la très brève écriture de réponse, et du peu de complexité de l'objet de la procédure (art. 84, 85, 88, 90 RTFMC). * * * * * PAR CES MOTIFS, La Chambre civile : A la forme : Déclare recevable le recours formé par A______ contre le jugement JTPI/8163/2024 rendu le 17 juin 2024 par le Tribunal de première instance dans la cause C/1824/2024–S1 SML. Au fond : Rejette ce recours. Déboute les parties de toutes autres conclusions. Sur les frais : Arrête les frais judiciaires du recours à 800 fr., compensés avec l'avance effectuée, acquise à l'ETAT DE GENEVE. Les met à la charge de A______. Condamne A______ à verser à B______ 800 fr. Condamne A______ à verser à B______ 500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