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C/18187/2014 vom 11. September 2015</w:t>
      </w:r>
    </w:p>
    <w:p>
      <w:r>
        <w:t>GE Cour de justice, 2015-09-11, FR</w:t>
      </w:r>
    </w:p>
    <w:p>
      <w:r>
        <w:rPr>
          <w:b/>
        </w:rPr>
        <w:t xml:space="preserve">Quelle: </w:t>
      </w:r>
      <w:r>
        <w:t>https://mcp.opencaselaw.ch/entscheid/ge_gerichte_C_18187_2014</w:t>
      </w:r>
    </w:p>
    <w:p>
      <w:r>
        <w:t>FR: GE_GERICHTE C/18187/2014 du 11 septembre 2015</w:t>
      </w:r>
    </w:p>
    <w:p>
      <w:r>
        <w:t>IT: GE_GERICHTE C/18187/2014 del 11 settembre 2015</w:t>
      </w:r>
    </w:p>
    <w:p>
      <w:pPr>
        <w:pStyle w:val="Heading2"/>
      </w:pPr>
      <w:r>
        <w:t>Regeste</w:t>
      </w:r>
    </w:p>
    <w:p>
      <w:r>
        <w:t>MAINLEVÉE PROVISOIRE | LP.82.1; LP.82.2</w:t>
      </w:r>
    </w:p>
    <w:p>
      <w:pPr>
        <w:pStyle w:val="Heading2"/>
      </w:pPr>
      <w:r>
        <w:t>Volltext</w:t>
      </w:r>
    </w:p>
    <w:p>
      <w:r>
        <w:t>Genève Cour de Justice (Cour civile) Chambre civile (Sommaires) 11.09.2015 C/18187/2014</w:t>
      </w:r>
    </w:p>
    <w:p>
      <w:r>
        <w:t>MAINLEVÉE PROVISOIRE | LP.82.1; LP.82.2</w:t>
      </w:r>
    </w:p>
    <w:p>
      <w:r>
        <w:t>C/18187/2014 ACJC/1025/2015 du 11.09.2015 sur JTPI/1312/2015 ( SML ) , JUGE Descripteurs : MAINLEVÉE PROVISOIRE Normes : LP.82.1; LP.82.2 En fait En droit Par ces motifs RÉPUBLIQUE ET CANTON DE GENÈVE POUVOIR JUDICIAIRE C/18187/2014 ACJC/1025/2015 ARRÊT DE LA COUR DE JUSTICE Chambre civile du VENDREDI 11 SEPTEMBRE 2015 Entre A______ , sise ______ (VD), recourante contre un jugement rendu par la 1 ère Chambre du Tribunal de première instance de ce canton le 23 janvier 2015, comparant en personne, et B______ , sise ______ (France), intimée, comparant en personne. EN FAIT A. Par jugement JTPI/1312/2015 du 23 janvier 2015, expédié pour notification aux parties le 20 mars 2015, le Tribunal de première instance a prononcé la mainlevée provisoire de l'opposition formée au commandement de payer, poursuite n o 1______ à concurrence d'un montant de 3'077 fr. 70 (ch. 1 du dispositif), arrêté les frais judiciaires à 200 fr., compensés avec l'avance effectuée par A______ (ch. 2), les a mis à la charge de B______ et l'a condamnée en conséquence à les verser à A______ (ch. 3). En substance, le Tribunal a retenu que, dans la mesure où il ressortait du dossier que les parties étaient en relation d'affaires, les bulletins de livraison signés par B______ valaient reconnaissance de dette; tel n'était pas le cas des bulletins ne comportant pas de signature. B. a. Par acte expédié le 1er avril 2015 au Tribunal de première instance, et transmis au greffe de la Cour le lendemain, A______ a formé recours contre ce jugement, dont elle a sollicité, implicitement, l'annulation du chiffre 1 de son dispositif. Elle a requis que la mainlevée soit prononcée à concurrence d'un montant de 4'866 fr. 80. Elle a produit de nouvelles pièces, soit des courriers adressés à l'Office des poursuites de Genève le 12 et 28 août 2014. Elle a également remis de nouvelles photocopies de pièces versées en première instance. b. B______ n'a pas répondu dans le délai fixé à cet effet, ni ultérieurement. c. Les parties ont été avisées le 14 juillet 2015 de ce que la cause était gardée à juger. C. Les faits pertinents suivants résultent de la procédure : a. A______, dont le siège est à Genève, a régulièrement livré, depuis le 1 er avril 2014, des marchandises à B______, société également inscrite au Registre du commerce de Genève. Entre le 1 er avril 2014 et le 17 juin 2014, A______ a procédé à 32 livraisons. 32 bons préparés par A______ ont été signés (à la rubrique idoine ou ailleurs sur le document). Les bons comportent le prix des marchandises livrées. A______ a adressé trois factures à B______, les 30 avril, 31 mai et 30 juin 2014, pour des montants de respectivement 3'301 fr., 2'075 fr. 15 et 866 fr. 80. B______ s'est partiellement acquittée de leur paiement. b. Le 15 août 2014, A______ a fait notifier à B______ un commandement de payer, poursuite n o 1______, pour la somme de 7'232 fr. 50 avec intérêts à 5% dès le 28 février 2014. Dans la rubrique titre et date de la créance, A______ a indiqué les trois factures susmentionnées ainsi que deux autres factures de 355 fr. 75 et 633 fr. 80. La poursuivie a formé opposition à la poursuite. c. Par requête expédiée le 5 septembre 2014 au greffe du Tribunal, A______ a requis le prononcé de la mainlevée provisoire de l'opposition formée audit commandement de payer, à concurrence de 4'866 fr. 80. A l'appui de sa requête, elle a versé l'original du commandement de payer, l'intégralité des bulletins de livraison, les trois factures susdécrites ainsi qu'un extrait de compte, duquel il ressort qu'une parties des factures a été payée. d. A l'audience du Tribunal du 23 janvier 2015, aucune des parties ne s'est présentée ni fait représenter. La cause a été gardée à juger. EN DROIT 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et les formes prévus par la loi, le présent recours est recevable. 2. 2.1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2.2 Les pièces nouvelles produites par la recourante seront déclarée irrecevables, ainsi que les allégués de fait s'y rapportant. En revanche, les copies de pièces d'ores et déjà produites en première instance font partie du dossier. 3. La recourante fait grief au Tribunal d'avoir retenu que certains bons de livraison n'étaient pas signés, alors que tel était bien le cas. Elle disposait ainsi d'un titre de de mainlevée provisoire au sens de l'art. 82 LP, pour l'intégralité de sa créance.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 ème édition, 1997, n. 10 ad art. 82 LP). L'acte doit également comporter la signature du débiteur ou de son représentant. Des factures ne valent pas reconnaissance de dette et ce, même si elles ne sont pas contestées (arrêt du Tribunal fédéral 5P.290/2006 du 12 octobre 2006 consid. 3.2). La reconnaissance de dette peut découler du rapprochement de plusieurs pièces, pour autant que les éléments nécessaires en résultent (ATF 130 III 87 = SJ 2004 I 209 consid. 3.1; ATF 122 II 126 consid. 2; arrêt du Tribunal fédéral 5P.290/2006 du 12 octobre 2006 consid. 3.1.2; Panchaud/Caprez, La mainlevée d'opposition, 2 ème édition, 1980, p. 2). 3.2 Dans le cas d'espèce, la recourante a produit, devant le premier juge, plusieurs bons de livraison, mentionnant le prix des marchandises livrées et signés par l'intimée, ainsi que les factures des biens ainsi livrés. Contrairement à ce qu'a retenu le premier juge, l'intégralité des bons de livraison comportait une signature, certes peu visible, au vu de la piètre qualité des copies produites par la recourante. Il résulte également des pièces versées à la procédure que l'intimée a effectué des paiements partiels des factures que lui a adressées la recourante. Les parties sont par ailleurs en relation d'affaires, la recourante livrant très régulièrement les marchandises à l'intimée. Dans ces conditions, les pièces versées à la procédure valent reconnaissance de dette, ce qu'a retenu, à bon droit, le Tribunal dans son principe. La mainlevée de l'opposition formée au commandement de payer, poursuite n o 1______ sera en conséquence prononcée à concurrence de 4'866 fr. 80 et le chiffre 1 du dispositif du jugement entrepris annulé et réformé en ce sens. 4. L'intimée,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200 fr. Partant, l'émolument de la présente décision sera fixé à 300 fr. et mis à la charge de la l'intimée, compensé avec l'avance de frais du même montant opérée par la recourante, acquise à l'Etat (art. 111 al. 1 CPC). L'intimée sera en conséquence condamnée à verser la somme de 300 fr. à la recourante, à ce titre. Pour le surplus, aucuns dépens ne sera alloué, l'intimée n'ayant pas répondu. 5. La valeur litigieuse, au sens de l'art. 51 LTF, est inférieure à 30'000 fr. * * * * * PAR CES MOTIFS, La Chambre civile : A la forme : Déclare recevable le recours interjeté le 1 er avril 2015 par A______ contre le jugement JTPI/1312/2015 rendu le 23 janvier 2015 par le Tribunal de première instance dans la cause C/18187/2014-1 SML. Au fond : Annule le chiffre 1 du dispositif de ce jugement. Cela fait et, statuant à nouveau : Prononce la mainlevée provisoire de l'opposition formée au commandement de payer, poursuite n o 1______ à concurrence de 4'866 fr. 80. Déboute les parties de toutes autres conclusions. Sur les frais : Arrête les frais judiciaires à 300 fr., compensés avec l'avance de frais du même montant fournie par A______, acquise à l'Etat. Les met à la charge de B______. Condamne en conséquence B______ à verser 300 fr. à A______. Dit qu'il n'est pas alloué de dépens. Siégeant : Madame Sylvie DROIN, présidente; Madame Nathalie LANDRY-BARTHE et Madame Pauline ERARD,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