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C/18171/2021 vom 8. März 2022</w:t>
      </w:r>
    </w:p>
    <w:p>
      <w:r>
        <w:t>GE Cour de justice, 2022-03-08, FR</w:t>
      </w:r>
    </w:p>
    <w:p>
      <w:r>
        <w:rPr>
          <w:b/>
        </w:rPr>
        <w:t xml:space="preserve">Quelle: </w:t>
      </w:r>
      <w:r>
        <w:t>https://mcp.opencaselaw.ch/entscheid/ge_gerichte_C_18171_2021</w:t>
      </w:r>
    </w:p>
    <w:p>
      <w:r>
        <w:t>FR: GE_GERICHTE C/18171/2021 du 8 mars 2022</w:t>
      </w:r>
    </w:p>
    <w:p>
      <w:r>
        <w:t>IT: GE_GERICHTE C/18171/2021 del 8 marzo 2022</w:t>
      </w:r>
    </w:p>
    <w:p>
      <w:pPr>
        <w:pStyle w:val="Heading2"/>
      </w:pPr>
      <w:r>
        <w:t>Erwägungen</w:t>
      </w:r>
    </w:p>
    <w:p>
      <w:r>
        <w:rPr>
          <w:b/>
        </w:rPr>
        <w:t>E. 12</w:t>
      </w:r>
    </w:p>
    <w:p>
      <w:r>
        <w:t>juin 2001 consid.3; Bohnet, Commentaire romand, Code de procédure civile, 2ème éd. 2019, n. 10 art. art. 132 CPC); que la signature en copie n’est pas suffisante en raison des risques de tromperie (photomontage, ATF 121 II 252 ; voir aussi ATF 112 Ia 173 , JdT 1987 IV 60); Que le tribunal fixe un délai pour la rectification des vices de forme telle l'absence de signature ou de procuration, à défaut de quoi l'acte n'est pas pris en considération (art. 132 al. 1 CPC);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 PAR CES MOTIFS, La Chambre civile : Déclare irrecevable le recours formé le 1 er février 2022 par A______ contre le jugement JTPI/611/2022 rendu le 18 janvier 2022 par le Tribunal de première instance en la cause C/18171/2021-2 SML. Dit qu'il n'est pas perçu de frais judiciaires pour la procédure de recours. Siégeant : Madame Pauline ERARD, présidente; Madame Nathalie LANDRY-BARTHE, Monsieur Ivo BUETTI,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