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C/1816/2019 vom 24. Februar 2020</w:t>
      </w:r>
    </w:p>
    <w:p>
      <w:r>
        <w:t>GE Cour de justice, 2020-02-24, FR</w:t>
      </w:r>
    </w:p>
    <w:p>
      <w:r>
        <w:rPr>
          <w:b/>
        </w:rPr>
        <w:t xml:space="preserve">Quelle: </w:t>
      </w:r>
      <w:r>
        <w:t>https://mcp.opencaselaw.ch/entscheid/ge_gerichte_C_1816_2019</w:t>
      </w:r>
    </w:p>
    <w:p>
      <w:r>
        <w:t>FR: GE_GERICHTE C/1816/2019 du 24 février 2020</w:t>
      </w:r>
    </w:p>
    <w:p>
      <w:r>
        <w:t>IT: GE_GERICHTE C/1816/2019 del 24 febbraio 2020</w:t>
      </w:r>
    </w:p>
    <w:p>
      <w:pPr>
        <w:pStyle w:val="Heading2"/>
      </w:pPr>
      <w:r>
        <w:t>Regeste</w:t>
      </w:r>
    </w:p>
    <w:p>
      <w:r>
        <w:t>Cst.29.al2; CPC.257;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l'appelant conteste matériellement sa condamnation à verser 96'096 fr. à l'intimée, soutenant ne pas avoir repris le bail. La valeur litigieuse est dès lors supérieure à 10'000 fr.</w:t>
      </w:r>
    </w:p>
    <w:p>
      <w:r>
        <w:rPr>
          <w:b/>
        </w:rPr>
        <w:t>E. 1.2</w:t>
      </w:r>
    </w:p>
    <w:p>
      <w:r>
        <w:t>L'appel a été interjeté dans le délai et suivant la forme prescrits par la loi (art. 130, 131 et 314 al. 1 CPC). Il est ainsi recevable.</w:t>
      </w:r>
    </w:p>
    <w:p>
      <w:r>
        <w:rPr>
          <w:b/>
        </w:rPr>
        <w:t>E. 1.3</w:t>
      </w:r>
    </w:p>
    <w:p>
      <w:r>
        <w:t>La Cour revoit la cause avec un plein pouvoir d'examen (art. 310 CPC), dans la limite toutefois des griefs suffisamment motivés qui sont formulés (arrêts du Tribunal fédéral 4A_290/2014 du 1 er septembre 2014 consid. 5; 5A_89/2014 du 15 avril 2011 consid. 5.3.2).</w:t>
      </w:r>
    </w:p>
    <w:p>
      <w:r>
        <w:rPr>
          <w:b/>
        </w:rPr>
        <w:t>E. 2</w:t>
      </w:r>
    </w:p>
    <w:p>
      <w:r>
        <w:t>Dans un moyen qu'il convient d'examiner en premier lieu, l'intimée soutient que l'appel serait irrecevable, faute d'avoir été déposé aux côtés du colocataire de l'appelant, à savoir C______.</w:t>
      </w:r>
    </w:p>
    <w:p>
      <w:r>
        <w:rPr>
          <w:b/>
        </w:rPr>
        <w:t>E. 2.1</w:t>
      </w:r>
    </w:p>
    <w:p>
      <w:r>
        <w:t>La présente cause ne porte pas sur l'annulation d'une résiliation de bail, mais sur l'évacuation de locataires dont le bail a préalablement été résilié, ainsi que sur le paiement d'arriérés de loyers et d'indemnités pour occupation illicite. Il s'ajoute à cela que, dans ses écritures d'appel, l'appelant conteste être devenu le colocataire de C______. Il découle de ce qui précède que la jurisprudence invoquée par l'intimée et imposant aux colocataires d'agir en commun pour conclure à l'annulation d'une résiliation de bail ne saurait être applicable comme telle. De plus, le principe de l'action commune de tous les consorts souffre d'exceptions, de sorte qu'il peut être suffisant que tous les colocataires soient parties au procès, d'un côté ou de l'autre de la barre. En d'autres termes, en cas de désaccord entre eux, un colocataire a la qualité pour agir seul, même dans le cas d'actions formatrices (ATF 140 III 598 ; arrêt du Tribunal fédéral 4A_625/2017 du 12 mars 2018 consid. 3.1). En l'espèce, l'appelant dépose un appel pour contester un jugement d'évacuation le condamnant à verser des loyers et indemnités en retard. Il soutient que les conditions d'application de l'art. 257 CPC ne seraient pas réalisées et affirme ne pas être devenu colocataire du bail litigieux. Dans un tel contexte, il est habilité à agir seul, en mentionnant - comme il l'a fait - son colocataire parmi les parties intimées. Ce moyen est dès lors mal fondé.</w:t>
      </w:r>
    </w:p>
    <w:p>
      <w:r>
        <w:rPr>
          <w:b/>
        </w:rPr>
        <w:t>E. 3</w:t>
      </w:r>
    </w:p>
    <w:p>
      <w:r>
        <w:t>L'appelant se plaint d'une violation de son droit d'être entendu. Il considère que les premiers juges ont omis de traiter et d'analyser les arguments qu'il avait soulevés en première instance.</w:t>
      </w:r>
    </w:p>
    <w:p>
      <w:r>
        <w:rPr>
          <w:b/>
        </w:rPr>
        <w:t>E. 3.1</w:t>
      </w:r>
    </w:p>
    <w:p>
      <w:r>
        <w:t>Selon le Tribunal fédéral, le droit d'être entendu, garanti par l'art. 29 al. 2 Cst.,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rPr>
          <w:b/>
        </w:rPr>
        <w:t>E. 3.2</w:t>
      </w:r>
    </w:p>
    <w:p>
      <w:r>
        <w:t>Le Tribunal fait état dans son jugement de ce qu'à l'audience du 6 juin 2019, l'appelant a contesté la validité du transfert de bail en soutenant qu'il s'agissait d'un acte simulé. Les premiers juges indiquent que, selon l'intéressé, il n'aurait par conséquent jamais été valablement colocataire du local en question, ce qu'il faudrait déduire du fait qu'il n'a pas exercé d'activité dans la surface commerciale concernée, qu'il n'y a jamais eu d'état des lieux d'entrée et que la garantie de loyer n'a jamais été constituée. Au considérant 6 de leur jugement, les premiers juges constatent à cet égard que l'appelant a signé le document de transfert de bail après avoir lui-même requis ledit transfert à l'occasion d'un échange de courriels avec H______. Selon les premiers juges, la validité du transfert de bail n'était pas remise en cause par les circonstances évoquées par l'appelant, telles que l'absence d'état des lieux d'entrée ou le non-versement d'une garantie de loyer. Etant rappelé que le Tribunal n'a pas à entrer dans tous les moindres détails de l'argumentaire de toutes les parties, les quelques éléments qui précèdent suffisent à démontrer que le Tribunal a examiné les objections formulées par l'intéressé et s'est déterminé à leur sujet. Le grief de violation du droit d'être entendu est dès lors mal fondé.</w:t>
      </w:r>
    </w:p>
    <w:p>
      <w:r>
        <w:rPr>
          <w:b/>
        </w:rPr>
        <w:t>E. 4</w:t>
      </w:r>
    </w:p>
    <w:p>
      <w:r>
        <w:t>L'appelant fait grief au Tribunal d'être entré en matière sur la requête en protection du cas clair, alors que plusieurs moyens avaient été soulevés pour contester la validité du transfert de bail signé en faveur de C______ et de l'appelant. Selon lui, les objections soulevées auraient dû conduire le Tribunal à refuser d'entrer en matière, puisque les conditions de l'art. 257 CPC n'étaient pas remplies.</w:t>
      </w:r>
    </w:p>
    <w:p>
      <w:r>
        <w:rPr>
          <w:b/>
        </w:rPr>
        <w:t>E. 4.1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Ce délai sera de dix jours au moins et de trente jours au moins pour les baux d'habitations.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 ème Séminaire sur le droit du bail, 2014, p. 118, n o 172-173).</w:t>
      </w:r>
    </w:p>
    <w:p>
      <w:r>
        <w:rPr>
          <w:b/>
        </w:rPr>
        <w:t>E. 4.2</w:t>
      </w:r>
    </w:p>
    <w:p>
      <w:r>
        <w:t>En l'espèce, le contrat de transfert de bail daté du 13 mars 2018 a été signé par l'appelant, après que celui-ci avait échangé des messages avec un représentant de la bailleresse aux termes desquels il indique organiser au plus vite la conclusion effective de ce transfert. Sur cette base, l'intéressé a donc bel et bien voulu que le bail portant sur les locaux ici en cause lui soit transféré. Comme l'ont retenu les premiers juges, les objections formulées par l'appelant pour soutenir que ce transfert serait un acte simulé sont manifestement dépourvues de tout fondement. Ainsi, ni l'absence d'état des lieux d'entrée, ni la non-constitution de la garantie de loyer, qui ne sont pas contestées, ne démontrent que l'intéressé n'aurait pas voulu s'engager à reprendre le bail daté du 28 février 2008, comme cela ressort explicitement du document signé. Il en est de même du fait que l'appelant ait été l'employé d'une autre société au moment de la signature du transfert ou du fait qu'un bulletin de versement pour un arriéré de loyer ait été adressé aux colocataires précédents, soit G______ et C______. Il s'ajoute à cela que le compte locataire, daté du 25 janvier 2019 et produit par l'intimée en première instance (pièce 6 bailleresse) mentionne en réalité les trois noms de C______, G______ et A______, et n'est quoi qu'il en soit pas déterminant pour établir la volonté concordante des parties au moment de la signature du transfert du bail en mars 2018. Enfin, C______ a confirmé, à l'audience du 21 mars 2019, avoir transféré l'exploitation de ces locaux commerciaux à l'appelant dès mars 2018. Quoi qu'il en soit, dans la mesure où le transfert de bail a été valablement conclu y compris par l'appelant et que les locaux n'ont pas été restitués à l'intimée, il n'est pas décisif que l'appelant n'ait pas pris possession des lieux. C'est ainsi à juste titre que le Tribunal a considéré que les conditions de l'art. 257 CPC étaient remplies et qu'il est entré en matière sur l'action déposée par l'intimée. En effet, au vu des objections formulées par l'intéressé en première instance, les premiers juges étaient manifestement en mesure de les écarter immédiatement et sans instruction complémentaire, sur la base des faits résultant du dossier.</w:t>
      </w:r>
    </w:p>
    <w:p>
      <w:r>
        <w:rPr>
          <w:b/>
        </w:rPr>
        <w:t>E. 5</w:t>
      </w:r>
    </w:p>
    <w:p>
      <w:r>
        <w:t>En fonction des faits retenus, il est de plus manifeste que les conditions d'application de l'art. 257d CO sont également réalisées. L'appelant ne le conteste d'ailleurs pas dans son écriture d'appel, comme il ne conteste pas le fondement des arriérés de loyers et d'indemnités pour occupation illicite. Ainsi l'évacuation des locataires et la condamnation de ceux-ci à verser le loyer et les charges d'avril 2018 à juin 2019 peuvent être confirmées.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juillet 2019 par A______ contre le jugement JTBL/685/2019 rendu le 8 juillet 2019 par le Tribunal des baux et loyers dans la cause C/1816/2019-8-SE.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