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C/17715/2021 vom 1. März 2022</w:t>
      </w:r>
    </w:p>
    <w:p>
      <w:r>
        <w:t>GE Cour de justice, 2022-03-01, FR</w:t>
      </w:r>
    </w:p>
    <w:p>
      <w:r>
        <w:rPr>
          <w:b/>
        </w:rPr>
        <w:t xml:space="preserve">Quelle: </w:t>
      </w:r>
      <w:r>
        <w:t>https://mcp.opencaselaw.ch/entscheid/ge_gerichte_C_17715_2021</w:t>
      </w:r>
    </w:p>
    <w:p>
      <w:r>
        <w:t>FR: GE_GERICHTE C/17715/2021 du 1 mars 2022</w:t>
      </w:r>
    </w:p>
    <w:p>
      <w:r>
        <w:t>IT: GE_GERICHTE C/17715/2021 del 1 marzo 2022</w:t>
      </w:r>
    </w:p>
    <w:p>
      <w:pPr>
        <w:pStyle w:val="Heading2"/>
      </w:pPr>
      <w:r>
        <w:t>Regeste</w:t>
      </w:r>
    </w:p>
    <w:p>
      <w:r>
        <w:t>CPC.248.letd; LDA.1.al1.leta; LDA.2; LDA.6; LDA.11; LCD.5.letc</w:t>
      </w:r>
    </w:p>
    <w:p>
      <w:pPr>
        <w:pStyle w:val="Heading2"/>
      </w:pPr>
      <w:r>
        <w:t>Erwägungen</w:t>
      </w:r>
    </w:p>
    <w:p>
      <w:r>
        <w:rPr>
          <w:b/>
        </w:rPr>
        <w:t>E. 1</w:t>
      </w:r>
    </w:p>
    <w:p>
      <w:r>
        <w:t>La Cour examine d'office sa compétence à raison du lieu et de la matière (art. 59 al. 2 let. b et 60 CPC).</w:t>
      </w:r>
    </w:p>
    <w:p>
      <w:r>
        <w:rPr>
          <w:b/>
        </w:rPr>
        <w:t>E. 1.1</w:t>
      </w:r>
    </w:p>
    <w:p>
      <w:r>
        <w:t>Aux termes de l'art. 5 al. 1 CPC, la Chambre civile de la Cour de justice (art. 120 al. 1 let. a LOJ) connaît en instance unique des litiges portant sur des droits de propriété intellectuelle (let. a) ou relevant de la loi contre la concurrence déloyale lorsque la valeur litigieuse dépasse 30'000 fr. (let. d). Cette compétence vaut également pour statuer sur les mesures provisionnelles requises avant litispendance (art. 5 al. 2 CPC).</w:t>
      </w:r>
    </w:p>
    <w:p>
      <w:r>
        <w:rPr>
          <w:b/>
        </w:rPr>
        <w:t>E. 1.2</w:t>
      </w:r>
    </w:p>
    <w:p>
      <w:r>
        <w:t>En l'occurrence, le requérant fonde ses conclusions sur la loi fédérale sur le droit d'auteur et les droits voisins (ci-après : LDA) et la loi contre la concurrence déloyale (ci-après : LCD). A ce stade, il n'y a pas lieu de trancher la question de savoir si la valeur litigieuse de 30'000 fr. est atteinte en matière de concurrence déloyale, puisque l'économie de procédure commande, en raison du cumul objectif d'actions présentant un lien étroit ("in einem engen sachlichen Zusammenhang"), d'admettre une compétence matérielle unique ( ACJC/694/2018 du 27 avril 2018 consid. 1.1; ACJC/731/2017 du 15 juin 2017, consid. 1.1; Berger, in Berner Kommentar, Schweizerische Zivilprozessordnung, Band I, Berne 2012, n° 32 ad art. 5 CPC). La compétence ratione materiae de la Cour est ainsi donnée.</w:t>
      </w:r>
    </w:p>
    <w:p>
      <w:r>
        <w:rPr>
          <w:b/>
        </w:rPr>
        <w:t>E. 1.3</w:t>
      </w:r>
    </w:p>
    <w:p>
      <w:r>
        <w:t>Selon l'art. 13 CPC, sauf disposition contraire de la loi, est impérativement compétent pour ordonner des mesures provisionnelles le tribunal compétent pour statuer sur l'action principale (let. a) ou le tribunal du lieu où la mesure doit être exécutée (let. b). A teneur de l'art. 36 CPC, le tribunal du domicile ou du siège du lésé ou du défendeur ou le tribunal du lieu de l'acte ou du résultat de celui-ci est compétent pour statuer sur les actions fondées sur un acte illicite. Les actions défensives fondées sur la LCD et la LDA, notamment, sont régies par la règle de l'art. 36 CPC (Steinauer/Fountoulakis, Droit des personnes physiques et de la protection de l'adulte, 2014, n. 570b). En l'espèce, les autorités suisses et, plus particulièrement, genevoises sont compétentes pour connaître du présent litige, notamment compte tenu du domicile genevois du requérant, du siège genevois de la citée et étant donné que le droit de propriété intellectuelle dont la protection est demandée est protégé en Suisse. Au surplus, la citée a procédé sans contester la compétence ratione loci (art. 18 CPC).</w:t>
      </w:r>
    </w:p>
    <w:p>
      <w:r>
        <w:rPr>
          <w:b/>
        </w:rPr>
        <w:t>E. 1.4</w:t>
      </w:r>
    </w:p>
    <w:p>
      <w:r>
        <w:t>Les mesures provisionnelles sont soumises à la procédure sommaire (art. 248 let. d CPC), dans le cadre de laquelle, sauf exceptions, la maxime des débats (art. 55 al. 1 CPC; Bohnet, in Procédure civile suisse, Les grands thèmes pour les praticiens, Neuchâtel 2010, ch. 23 et 26, p. 201 et 202) et la maxime de disposition s'appliquent (art. 58 al. 1 CPC). Les mesures provisionnelles étant soumises à la procédure sommaire (art. 248 let. d CPC), avec administration restreinte des moyens de preuve, la cognition du juge est limitée à la simple vraisemblance des faits et à un examen sommaire du droit (ATF 127 III 474 consid. 2b/bb; arrêt du Tribunal fédéral 5A_442/2013 du 24 juillet 2013 consid. 2.1 et 5.1). La preuve est généralement apportée par titre au sens de l'art. 177 CPC (art. 254 al. 1 CPC).</w:t>
      </w:r>
    </w:p>
    <w:p>
      <w:r>
        <w:rPr>
          <w:b/>
        </w:rPr>
        <w:t>E. 2</w:t>
      </w:r>
    </w:p>
    <w:p>
      <w:r>
        <w:t>Les parties ont répliqué et dupliqué après le premier échange d'écritures. La citée a en outre produit deux pièces nouvelles lors de l'audience du 15 décembre 2021.</w:t>
      </w:r>
    </w:p>
    <w:p>
      <w:r>
        <w:rPr>
          <w:b/>
        </w:rPr>
        <w:t>E. 2.1</w:t>
      </w:r>
    </w:p>
    <w:p>
      <w:r>
        <w:t>A teneur de l'art. 253 CPC, lorsque la requête ne paraît pas manifestement irrecevable ou infondée, le tribunal donne à la partie adverse l'occasion de se déterminer oralement ou par écrit. Conformément à l'art. 229 CPC, les faits et moyens de preuve nouveaux ne sont admis aux débats principaux que s'ils sont invoqués sans retard et qu'ils remplissent l'une des conditions suivantes : ils sont postérieurs à l'échange d'écritures ou à la dernière audience d'instruction (novas proprement dits; al. 1, let. a) ou s'ils existaient avant la clôture de l'échange d'écritures ou la dernière audience d'instruction mais ne pouvaient être invoqués antérieurement bien que la partie qui s'en prévaut ait fait preuve de la diligence requise (novas improprement dits; al. 1, let. b). S'il n'y a pas eu de second échange d'écritures ni de débats d'instruction, les faits et moyens de preuves nouveaux sont en outre admis à l'ouverture des débats principaux (al. 2). Il résulte de cette disposition qu'en procédure ordinaire, les parties ont deux fois la possibilité de s'exprimer librement, avant que les conditions restrictives de l'art. 229 al. 1 CPC ne trouvent application. Cette solution s'applique par analogie à la procédure simplifiée. Par contre, en procédure sommaire, une partie ne peut pas escompter que le tribunal ordonnera un second échange d'écritures ou une audience, après le premier échange d'écriture. Sous réserve de leur droit inconditionnel de réplique dans le cadre duquel les novas ne sont pas admissibles, les parties n'ont aucun droit à pouvoir s'exprimer à deux reprises. En principe, la cause est gardée à juger après un échange d'écriture (ATF 144 III 117 consid. 2.2). En revanche, si, en procédure sommaire de première instance, - après un simple échange d'écritures - une audience a lieu ou, exceptionnellement, un second échange d'écritures est ordonné, l'art. 229 CPC est applicable par analogie. Lors de cette audience ou dans le cadre de cet échange, les novas sont autorisés sans restriction; cette solution se justifie par le but de l'audience ou du second échange qui est de clarifier l'état de fait. La phase d'allégations n'est close qu'après cette étape (cf. art. 229 al. 2 CPC; ATF 146 III 237 consid. 3.1).</w:t>
      </w:r>
    </w:p>
    <w:p>
      <w:r>
        <w:rPr>
          <w:b/>
        </w:rPr>
        <w:t>E. 2.2</w:t>
      </w:r>
    </w:p>
    <w:p>
      <w:r>
        <w:t>En l'espèce, la Cour a transmis la réponse de la citée au requérant pour information sans ordonner de second échange d'écritures ni impartir de délai pour répliquer. Conformément au droit inconditionnel de réplique, les parties étaient toutefois en droit de se déterminer de manière spontanée dans les jours suivants, ce qu'elles ont chacune fait. Les déterminations déposées dans ce cadre sont dès lors recevables. Après réception de ces déterminations, la Cour a tenu deux audiences de comparution personnelle et de plaidoiries sur mesures provisionnelles, les 24 novembre et 15 décembre 2021. Lors de ces audiences, les parties ont chacune allégué des faits nouveaux. La citée a également produit deux pièces nouvelles, à savoir des captures d'écran des sites internet "G______.ch" et "H______.ch" datées du 15 décembre 2021. Les novas pouvant être invoqués sans restriction à l'occasion de ces audiences, ces allégués et ces pièces sont recevables.</w:t>
      </w:r>
    </w:p>
    <w:p>
      <w:r>
        <w:rPr>
          <w:b/>
        </w:rPr>
        <w:t>E. 3</w:t>
      </w:r>
    </w:p>
    <w:p>
      <w:r>
        <w:t>Le requérant conclut à ce qu'il soit ordonné à la citée de mettre hors ligne le site "H______.ch" sous la menace de la peine d'amende prévue à l'art. 292 CP. Il fonde son action, en premier lieu, sur la LDA. En second lieu, il reproche à la citée d'avoir adopté un comportement déloyal au sens de la LCD. 3.1.1 La LDA règle notamment la protection des auteurs d'œuvres littéraires et artistiques (art. 1 al. 1 let. a LDA). Par œuvre, quelle qu'en soit la valeur ou la destination, on entend toute création de l'esprit, littéraire ou artistique, qui a un caractère individuel (art. 2 al. 1 LDA). Sont notamment des créations de l'esprit les œuvres recourant à la langue, qu’elles soient littéraires, scientifiques ou autres (art. 2 al. 2 let. a LDA), ou encore les recueils dotés d'un caractère individuel en raison du choix ou de la disposition de leur contenu (art. 4 al. 1 LDA). Le critère décisif réside dans l'individualité, qui doit s'exprimer dans l'œuvre elle-même; l'originalité, dans le sens du caractère personnel apporté par l'auteur, n'est plus nécessaire selon la LDA entrée en vigueur en juillet 1993 (ATF 142 III 387 consid. 3.1 et les arrêts cités). L'individualité se distingue de la banalité ou du travail de routine; elle résulte de la diversité des décisions prises par l'auteur, de combinaisons surprenantes et inhabituelles, de sorte qu'il paraît exclu qu'un tiers confronté à la même tâche ait pu créer une œuvre identique (ATF 142 III 387 précité, ibidem ). Le caractère individuel exigé dépend de la liberté de création dont l'auteur jouit. Si la nature de l'objet ne lui laisse que peu de marge de manœuvre, la protection du droit d'auteur sera accordée même si le degré d'activité créatrice est faible (ATF 142 III 387 précité, ibidem et l'arrêt cité; 130 III 168 consid. 4.1 et les arrêts cités). Ce principe s'applique notamment aux œuvres qui ont un usage pratique, comme les œuvres scientifiques, et pour lesquelles la liberté créatrice est limitée par des contraintes techniques. Ces œuvres seront rangées parmi les œuvres protégées, pour autant qu'un caractère individuel déterminé soit malgré tout reconnaissable, et qu'il ne s'agisse pas d'un simple travail artisanal (Barrelet/Egloff, Le nouveau droit d'auteur, 4 ème éd., 2021, n. 13 ad art. 2 LDA). Ne sont en revanche pas protégés les textes apparaissant dans l'ensemble comme une combinaison d'expressions courantes ou comme imposés par la logique des faits. La qualification d'œuvre a ainsi été refusée s'agissant d'un compendium contenant des informations sur des médicaments, faute de présenter l'individualité requise (ATF 134 III 166 consid. 2.3.1, JdT 2008 I 381, sic! 2008 pp. 462 ss). Des formules ou des conditions générales de contrats ne constituent généralement pas non plus des œuvres tant qu'aucune caractéristique particulière, aucun cachet propre, ne leur donne cette qualité (Barrelet/Egloff, op. cit., n. 21 ad art. 2 LDA). Un site internet – soit l'interface graphique telle qu'elle apparaît à l'écran – peut être protégé en raison de son contenu dès lors que la présentation à l'écran – consistant, à l'instar d'une œuvre multimédia, en une réunion d'un ensemble de textes et d'images – revêt une individualité suffisante au sens de l'art. 2 LDA. Il faut que l'auteur ne se soit pas limité à reprendre des choix parmi les différentes options que lui donne un programme de création de site, mais ait utilisé sa liberté créatrice pour élaborer un site web unique (Gilliéron, op. cit., p. 260 s.). Un site internet peut également être protégé à titre de recueil au sens de l'art. 4 al. 1 LDA, l'individualité exigée pouvant résulter de l'arrangement donné à la base de données d'une page web (par exemple collections de liens hypertextes répertoriés d'une certaine manière) ou de la structure donnée au site dans son ensemble (Gilliéron, op. cit., p. 258 et 262). Il est en revanche indifférent, sous l'angle de l'art. 4 al. 1 LDA, que les parties appartenant à un recueil constituent ou non des œuvres (Barrelet/Egloff, op. cit., art. 4 LDA, n. 4). Selon l'art. 6 LDA, l'auteur est la personne physique qui a créé l'œuvre. L'auteur a un droit exclusif sur son œuvre et le droit de faire reconnaître sa qualité d'auteur (art. 9 al. 1 LDA). Conformément à l'art. 10 al. 1 LDA, il a le droit exclusif de décider si, quand et de quelle manière son œuvre sera utilisée. Ce droit recouvre toutes les modalités d'exploitation de l'œuvre (Dessemontet, Le droit d'auteur, 1999, n. 219). La LDA accorde en outre à l'auteur, selon l'art. 11 al. 1 LDA, le droit exclusif de décider de quelle manière l'œuvre peut être modifiée, ou, quand et de quelle manière l'œuvre peut être utilisée pour la création d'une œuvre dérivée. Le terme d'œuvre dérivée est défini à l'art. 3 LDA comme toute création de l'esprit qui a un caractère individuel, mais qui a été conçue à partir d'une ou de plusieurs œuvres préexistantes, reconnaissables dans leur caractère individuel. Les œuvres dérivées sont protégées par le droit d'auteur, mais elles ne pourront être exploitées qu'avec le consentement de l'auteur de l'œuvre de base (Dessemontet, op. cit ., n. 395, p. 290). 3.1.2 La LCD vise à garantir, dans l'intérêt de toutes les parties concernées, une concurrence loyale et qui ne soit pas faussée (art. 1). Le droit de la concurrence déloyale ne contient aucune interdiction générale de copier les prestations d'autrui, car le principe est qu'on peut librement copier (ATF 131 III 384 consid. 5.1, JdT 2005 I 434, p. 442). Toutefois, selon art. 5 let. c LCD, agit de manière déloyale celui qui reprend, grâce à des procédés techniques et sans sacrifice correspondant, le résultat d'un travail d'un tiers prêt à être mis sur le marché et l'exploite comme tel ou encore celui qui prend des mesures qui sont de nature à faire naître une confusion avec les marchandises, les œuvres, les prestations ou les affaires d'autrui (art. 3 al. 1 let. d LCD). Est également déloyal, aux termes de l'art. 2 LCD, tout comportement ou pratique qui est trompeur ou qui contrevient à la bonne foi et qui influence les rapports entre concurrents ou entre fournisseurs. Cette clause générale peut trouver application notamment lorsqu'un comportement tombe sous le coup d'une loi protégeant un bien immatériel, comme la LDA (arrêt du Tribunal fédéral 4A_203/2009 du 12 janvier 2010 consid. 7.2). Pour qu'il y ait acte de concurrence déloyale, il ne suffit pas que le comportement apparaisse déloyal au regard de la liste d'exemples figurant aux art. 3 à 8 LCD; il faut encore, comme le montre la définition générale de l'art. 2 LCD, qu'il influe sur les rapports entre concurrents ou entre fournisseurs et clients. Il doit être objectivement être propre à avantager ou désavantager une entreprise dans sa lutte pour acquérir de la clientèle, ou à accroître ou diminuer ses parts de marché (ATF 132 III 414 consid. 3.1; 126 III 198 consid. 2c/aa). Les comportements par lesquels un concurrent se rapproche sans nécessité de la prestation d'autrui ou en exploite la renommée sont déloyaux indépendamment du risque éventuel de confusion. On peut exploiter la renommée d'autrui par exemple en intégrant le produit ou les services d'autrui dans sa publicité de manière à opérer un transfert d'image en sa faveur. Il suffit qu'un signe similaire à celui d'autrui se trouve utilisé d'une manière telle que ceci ne puisse être compris autrement que comme une concurrence parasitaire et qu'il suscite auprès du public une association d'idées avec la marque ou le produit d'autrui (ATF 135 III 446 consid. 7.1, JdT 2010 I 632, p. 671). L'auteur de la comparaison parasitaire favorise un transfert de la réputation ou des qualités de la prestation concurrente sur sa propre prestation dans l'esprit du public (KUONEN, in Loi sur la concurrence déloyale, Commentaire romand, 2017, art. 3 al. 1 let. e LCD, n. 37). Celui qui, par un acte de concurrence déloyale, subit une atteinte dans sa clientèle, son crédit ou sa réputation professionnelle, ses affaires ou ses intérêts économiques en général peut demander au juge de la faire cesser (art. 9 al. 1 let. b LCD). 3.1.3 Aux termes de l'art. 261 al. 1 CPC, le juge ordonne les mesures provisionnelles nécessaires lorsque le requérant rend vraisemblable qu'une prétention dont il est titulaire est l'objet d'une atteinte ou risque de l'être et que cette atteinte risque de lui causer un préjudice difficilement réparable. Il s'agit là de conditions cumulatives (Bohnet, in Code de procédure civile, Commentaire romand, 2 ème éd. 2019, n. 3 ad art. 261). En matière de propriété intellectuelle, parmi les dispositions d'autres lois réservées par l'art. 269 CPC, dont l'énumération n'est pas exhaustive (Bohnet, op. cit., n. 7 ad art. 269 CPC), l’art. 65 LDA prévoit que toute personne qui demande des mesures provisionnelles peut en particulier requérir du juge qu’il les ordonne en vue d'assurer à titre provisoire la prévention ou la cessation du trouble (let. d). Le requérant doit rendre vraisemblable que le droit matériel invoqué existe et que le procès a des chances de succès, la mesure provisionnelle ne pouvant être accordée que dans la perspective de l'action au fond, qui doit la valider (art. 263 et 268 al. 2 CPC). Il n'est pas nécessaire que le juge soit persuadé de l'existence des faits; il suffit que, sur la base d'éléments objectifs, il acquière l'impression que les faits invoqués se sont produits, sans pour autant devoir exclure la possibilité qu'ils aient pu se dérouler autrement (ATF 139 II 86 consid. 4.2; 132 III 715 consid. 3.1; 130 III 321 consid. 3.3). Le juge peut en outre se limiter à un examen sommaire des questions de droit (ATF 139 III 86 consid. 4.2; 131 III 473 consid. 2.3; arrêt du Tribunal fédéral 5P_422/2005 du 9 janvier 2006 consid. 3.2; Bohnet, op. cit., n° 7 ad art. 261 CPC et les références citées). La vraisemblance requise doit en outre porter sur un préjudice difficilement réparable, qui peut être patrimonial ou immatériel. Cette condition vise à protéger le requérant du dommage qu'il pourrait subir s'il devait attendre jusqu'à ce qu'une décision soit rendue au fond (ATF 139 III 86 consid. 5).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Entrent notamment dans ce cas de figure la perte de clientèle, l'atteinte à la réputation d'une personne, ou encore le trouble créé sur le marché par l'utilisation d'un signe créant un risque de confusion (arrêt du Tribunal fédéral 4A_611/2011 du 3 janvier 2012 consid. 4.1). En matière de concurrence déloyale, il est admis qu'un risque de confusion est en règle générale de nature à engendrer une perturbation du marché ainsi que d'autres dommages de nature immatérielle; en pareil cas, la condition de menace d'un dommage difficile à réparer est en principe considérée comme remplie (Schlosser, Les conditions d'octroi des mesures provisionnelles en matière de propriété intellectuelle et de concurrence déloyale, in sic! 2005 p. 349; Bohnet, op. cit., n. 13 ad art. 261 CPC; ACJC/1217/2018 du 12 septembre 2018 consid. 3.1). Concernant le droit d'auteur, la doctrine considère qu'il irait sans doute trop loin d'affirmer qu'une violation d'un tel droit implique systématiquement un dommage difficilement réparable. L'on peut en revanche admettre que telle est la règle, ne serait-ce que parce que la violation du droit d'auteur engendre la plupart du temps un dommage immatériel (Schlosser, Les conditions d'octroi des mesures provisionnelles en matière de propriété intellectuelle et de concurrence déloyale, in sic! 2005 p. 349). Le droit d'auteur protège en effet aussi le droit à la personnalité de l'auteur ("Urheberpersönlichkeitsrecht"), lequel, indépendamment de toute prétention de nature patrimoniale, confère une action en cessation absolue à l'encontre de quiconque modifie l'œuvre sans y être autorisé; peu importe à cet égard si l'œuvre est ainsi dénaturée ou tronquée, ou au contraire améliorée voire avantageusement complétée (ATF 114 II 368 consid. 3.1, JdT 1989 I 330). 3.1.4 La mesure ordonnée doit respecter le principe de la proportionnalité, par quoi on entend qu'elle doit être adaptée aux circonstances de l'espèce et ne pas aller au-delà de ce qu'exige le but poursuivi. Les mesures les moins incisives doivent avoir la préférence. La mesure doit également se révéler nécessaire, soit indispensable pour atteindre le but recherché, toute autre mesure ou action judiciaire ne permettant pas de sauvegarder les droits du requérant (Message du Conseil fédéral, FF 2006 p. 6962). La Cour a ainsi jugé, dans une affaire concernant deux sociétés de services d'impression dans laquelle une société avait copié le site internet de l'autre, que la société dont les droits avaient été violés n'était pas fondée à exiger de sa concurrente qu'elle retire de son site internet la totalité des textes qu'elle avait copiés. Un tel chef de conclusion était trop large, puisqu'il concernait tous les textes et mots communs aux deux sites alors que certains étaient propres à la branche d'activité des parties. Il convenait dès lors d'ordonner à la société citée de modifier son site internet en ce sens que dans sa disposition, sa composition et l'ordonnancement des mots, il ne soit pas la copie servile de celui de la société requérante ( ACJC/651/2010 du 21 mai 2010 consid. 4.4). 3.1.5 Le tribunal qui a ordonné les mesures provisionnelles prend également les dispositions d'exécution qui s'imposent (art. 267 CPC). Il peut le faire d'office, directement dans la décision relative aux mesures provisionnelles. Si la mesure provisionnelle consiste en une interdiction (art. 262 let. a CPC) ou en un ordre de cesser un état de fait illicite (art. 262 let. b CPC), il assortira sa décision de la menace d'une peine selon l'art. 292 CP ou d'une amende d'ordre prévue par l'art. 343 al. 1 let. b et c CPC (Bohnet, op. cit., art. 267 CPC, n. 3 et 13).</w:t>
      </w:r>
    </w:p>
    <w:p>
      <w:r>
        <w:rPr>
          <w:b/>
        </w:rPr>
        <w:t>E. 3.2</w:t>
      </w:r>
    </w:p>
    <w:p>
      <w:r>
        <w:t>Il convient dès lors d'examiner si les conditions du prononcé des mesures provisionnelles sollicitées sont réalisées.</w:t>
      </w:r>
    </w:p>
    <w:p>
      <w:r>
        <w:rPr>
          <w:b/>
        </w:rPr>
        <w:t>E. 3.2.1</w:t>
      </w:r>
    </w:p>
    <w:p>
      <w:r>
        <w:t>En l'espèce, les textes figurant sur le site internet du requérant peuvent être qualifiées d'œuvres au sens de la LDA, ce que la citée ne conteste d'ailleurs pas. Bien qu'elles comportent de nombreux termes génériques appartenant au droit de la circulation routière et récapitulent le contenu des dispositions légales applicables en la matière, dont l'usage n'est pas protégé, les explications que contient le site litigieux et les informations que celui-ci compile à l'attention des usagers de la route résultent des choix rédactionnels de l'auteur, qui a fait usage de toute la marge de manœuvre dont il disposait afin d'élaborer un contenu original et non standardisé. Il est dès lors indéniable que les textes que contient le site constituent une création de l'esprit au sens de l'art. 2 LDA et qu'ils sont protégés par cette loi. Il en va de même des dénominations des rubriques et sous-rubriques du site internet "G______.ch", ainsi que de leur arborescence. A l'instar des textes susmentionnés, ces éléments – bien que partiellement imposés par le contenu des normes du droit de la circulation routière – résultent en effet d'une création de l'esprit de l'auteur qui leur confère un caractère individuel reconnaissable. Il sied à cet égard de rappeler que le degré d'activité créatrice exigé est plus faible lorsque l'auteur ne dispose que d'une marge de manœuvre réduite en raison de la destination de l'objet, ce qui est en l'occurrence le cas. Le graphisme du site internet "G______.ch" peut également être qualifié d'œuvre dans la mesure où il confère à celui-ci une identité visuelle propre suffisamment forte pour que l'on puisse exclure qu'un tiers, confronté à la même tâche, aurait créé une œuvre identique. La qualité d'auteur du requérant n'est au surplus pas contestée. Celui-ci est par conséquent habilité à invoquer les droits conférés par les art. 10 et 11 LDA, notamment celui de faire cesser toute atteinte à ses droits sur son œuvre.</w:t>
      </w:r>
    </w:p>
    <w:p>
      <w:r>
        <w:rPr>
          <w:b/>
        </w:rPr>
        <w:t>E. 3.2.2</w:t>
      </w:r>
    </w:p>
    <w:p>
      <w:r>
        <w:t>Il sied à présent de déterminer si le site internet mis en ligne par la citée porte atteinte aux droits d'auteur du requérant. En l'occurrence, il résulte des extraits des deux sites internet mis en exergue dans la partie En fait que la première version du site "H______.ch" constituait une copie servile du site "G______.ch". Outre les ressemblances graphiques entre les deux pages d'accueil, le site "H______.ch" recourait largement à l'expression originale "G______" et reprenait, en les paraphrasant de manière souvent maladroite, de larges extraits du site du requérant. A la suite de l'interpellation du requérant, la citée a certes apporté des modifications à son site internet, reconnaissant ainsi tacitement l'illicéité de sa démarche initiale. Ainsi que le montrent les extraits reproduits ci-dessus (cf. En fait, let. A.n.a et A.n.b), elle a supprimé les similitudes les plus patentes en changeant le graphisme de sa page d'accueil (photographie d'illustration et couleurs), le texte figurant sur celle-ci, les dénominations des rubriques principales ainsi qu'une partie du contenu de la foire aux questions (FAQ). Le contenu du site internet de la citée continue toutefois d'être largement inspiré de celui du requérant. La page d'accueil du site "H______.ch" comporte encore de nombreux termes et idées originaux empruntés à la page d'accueil du site "G______.ch", tels que – pour n'en citer que quelques-uns – la problématique des assurances disposant de juristes et de médecins-conseils ou la nécessité de recourir à un avocat afin de surmonter l'épreuve difficile que constitue un accident de la route et de pouvoir se défendre efficacement. Or, la citée n'aurait pas utilisé des notions quasi identiques à celles employées par le requérant si elle s'était efforcée de rédiger un texte qui lui soit propre. Le même constat s'impose s'agissant du contenu d'autres rubriques du site internet de la citée, telles que "Le permis pour jeunes conducteurs", "Aide de l'avocat", ou encore certaines questions/réponses de la rubrique "FAQ" (cf. En fait, let. A.n.e et A.n.g). Contrairement à ce qu'elle prétend, la citée ne s'est en effet pas limitée à emprunter au requérant des termes génériques ou des explications élémentaires relatives au droit de la circulation routière, mais a paraphrasé des paragraphes entiers du site "G______.ch" en empruntant les conseils et les idées originales y figurant. Bien que la citée ait effectué des modifications sur ce point, de nombreuses ressemblances subsistent encore entre les deux sites dans les dénominations des rubriques et des sous-rubriques (cf. En fait, let. A.n.b, A.n.c et A.n.d). Certes, le requérant ne saurait revendiquer l'utilisation exclusive de termes inhérents au droit de la circulation routière tels que "retrait du permis", "délit de chauffard" ou "alcool au volant". Les nombreuses similitudes entre les deux sites dans l'arborescence des menus et des sous-menus montrent toutefois que l'architecture du site "H______.ch" reste calquée sur les idées et les choix opérés par la requérante et ne résulte pas d'un travail créatif personnel de la citée ou de ses mandataires. En agissant de la sorte, la citée a utilisé sans droit l'œuvre du requérant et a porté atteinte à ses droits protégés par les art. 10 al. 1 et 11 al. 1 LDA. Il faut également admettre, sous l'angle de la vraisemblance, qu'elle a repris sans contreprestation ni sacrifice correspondant le travail du requérant en l'intégrant dans son propre site internet et qu'elle a ainsi favorisé un transfert de la réputation dont bénéficie le site "G______.ch" sur son propre site dans l'esprit du public, afin d'en tirer un avantage concurrentiel. Elle a ainsi agi de manière déloyale au sens des art. 2 et 5 let. c LCD. Au vu de ce qui précède, la condition d'une atteinte aux droits du requérant doit être considérée comme remplie.</w:t>
      </w:r>
    </w:p>
    <w:p>
      <w:r>
        <w:rPr>
          <w:b/>
        </w:rPr>
        <w:t>E. 3.2.3</w:t>
      </w:r>
    </w:p>
    <w:p>
      <w:r>
        <w:t>S'agissant de l'existence d'un préjudice difficile à réparer, il convient d'admettre à ce stade qu'en utilisant l'œuvre du requérant sans y être autorisée, la citée occasionne à ce dernier un préjudice immatériel qui ne pourrait être écarté s'il fallait attendre le prononcé d'une décision au fond. Son comportement est également susceptible de lui causer un préjudice patrimonial dès lors qu'il fausse le jeu de la concurrence entre les acteurs d'un même marché. La condition d'un dommage difficile à réparer doit dès lors être considérée comme remplie.</w:t>
      </w:r>
    </w:p>
    <w:p>
      <w:r>
        <w:rPr>
          <w:b/>
        </w:rPr>
        <w:t>E. 3.2.4</w:t>
      </w:r>
    </w:p>
    <w:p>
      <w:r>
        <w:t>La conclusion du requérant tendant à la mise hors ligne du site "H______.ch" n'est en revanche pas conforme au principe de proportionnalité, lequel prohibe le prononcé de mesures allant au-delà de ce qu'exige le but poursuivi. Il apparaît en effet que depuis qu'elle a mis en ligne son site au mois de juillet 2021, la citée a opéré un certain nombre de modifications, notamment dans le graphisme de la page d'accueil et les rubriques principales, de sorte que l'apparence générale des deux sites ne prête plus à confusion. Le requérant ne saurait au surplus revendiquer le droit exclusif de consacrer un site internet au droit de la circulation routière et aux services qu'un avocat peut offrir dans ce cadre, étant rappelé que de nombreux sites internet existent déjà dans ce domaine. Au vu de ce qui précède, il convient d'ordonner à la citée de modifier son site internet afin que celui-ci ne constitue plus la copie servile du site "G______.ch" dans la dénomination des rubriques et des sous-rubriques, dans leur arborescence ainsi que dans le contenu des textes y figurant. Un délai de quinze jours à compter de la notification du présent arrêt sera imparti à la citée pour se conformer à ce qui précède. Cette mesure sera assortie de la menace de la peine prévue à l'art. 292 CP.</w:t>
      </w:r>
    </w:p>
    <w:p>
      <w:r>
        <w:rPr>
          <w:b/>
        </w:rPr>
        <w:t>E. 4</w:t>
      </w:r>
    </w:p>
    <w:p>
      <w:r>
        <w:t>La citée conclut à la condamnation du requérant à fournir des sûretés d'un montant de 30'000 fr.</w:t>
      </w:r>
    </w:p>
    <w:p>
      <w:r>
        <w:rPr>
          <w:b/>
        </w:rPr>
        <w:t>E. 4.1</w:t>
      </w:r>
    </w:p>
    <w:p>
      <w:r>
        <w:t>Le tribunal peut astreindre le requérant à fournir des sûretés si les mesures provisionnelles risquent de causer un dommage à la partie adverse (art. 264 al. 1 CPC). Le requérant répond du dommage causé par des mesures provisionnelles injustifiées (art. 264 al. 2 CPC). Les postes typiques du dommage sont les frais de procédure, le préjudice causé par le retard (par exemple la diminution objective et mesurable d'un bien, marchandise saisonnière invendable), le gain manqué (avec la difficulté de le déterminer et de le prouver), l'atteinte à la réputation et les dépenses liées à la diminution du dommage (Huber, Kommentar zur Schweizerischen Zivilprozessordnung (ZPO), 3 ème éd. 2016, n. 26 ad art. 264 CPC). La partie qui requiert des sûretés doit rendre vraisemblable le risque d'un dommage et son montant éventuel. Elle doit articuler un montant minimum, en particulier quand le dommage est difficile à chiffrer. L'art. 42 CO est applicable par analogie (Huber, op. cit., n. 12 ad art. 264 CPC).</w:t>
      </w:r>
    </w:p>
    <w:p>
      <w:r>
        <w:rPr>
          <w:b/>
        </w:rPr>
        <w:t>E. 4.2</w:t>
      </w:r>
    </w:p>
    <w:p>
      <w:r>
        <w:t>En l'espèce, la citée se limite à alléguer, à l'appui de sa requête de sûretés, que la mise hors ligne de son site internet lui causerait un dommage conséquent. Ce faisant, elle n'allègue ni ne rend vraisemblable quel serait concrètement le dommage occasionné par les mesures provisionnelles sollicitées par le requérant. Un tel dommage paraît au demeurant d'autant moins vraisemblable qu'aux termes du présent arrêt, la citée n'est pas condamnée à mettre hors ligne son site internet mais à modifier celui-ci afin qu'il ne constitue plus la copie servile du site du requérant. Les conditions permettant d'astreindre le requérant à fournir des sûretés n'étant pas réunies, la citée sera dès lors déboutée de ce chef de conclusions.</w:t>
      </w:r>
    </w:p>
    <w:p>
      <w:r>
        <w:rPr>
          <w:b/>
        </w:rPr>
        <w:t>E. 5</w:t>
      </w:r>
    </w:p>
    <w:p>
      <w:r>
        <w:t>Dans la mesure où l'action au fond n'est pas encore pendante, la Cour impartira au requérant un délai de soixante jours à compter de la réception du présent arrêt pour le dépôt de sa demande, sous peine de caducité des mesures ordonnées (art. 263 CPC).</w:t>
      </w:r>
    </w:p>
    <w:p>
      <w:r>
        <w:rPr>
          <w:b/>
        </w:rPr>
        <w:t>E. 6</w:t>
      </w:r>
    </w:p>
    <w:p>
      <w:r>
        <w:t>Les frais judiciaires de la procédure seront arrêtés à 5'000 fr. (art. 13 et 26 RTFMC) et compensés avec l'avance de frais de même montant fournie par le requérant, qui est acquise à l'Etat de Genève (art. 111 al. 1 CPC). Ils seront mis à la charge de la citée, qui succombe pour l'essentiel (art. 95 al. 1 et 106 al. 1 CPC). Celle-ci sera dès lors condamnée à rembourser au requérant le montant de son avance (art. 111 al. 2 CPC). Compte tenu de la valeur litigieuse arrêtée ci-après (cf. infra consid. 7) ainsi que de l'ampleur du travail effectué par le conseil du requérant, ayant consisté à rédiger une requête de 29 pages, une réplique de 10 pages et à participer à deux audiences de comparution personnelle et de plaidoiries, la citée sera condamnée à verser au requérant la somme de 6'000 fr., débours et TVA compris, à titre de dépens (art. 106 al. 1 CPC; art. 85 et 88 RTFMC; art. 23 al. 1, 25 et 26 LaCC).</w:t>
      </w:r>
    </w:p>
    <w:p>
      <w:r>
        <w:rPr>
          <w:b/>
        </w:rPr>
        <w:t>E. 7</w:t>
      </w:r>
    </w:p>
    <w:p>
      <w:r>
        <w:t>Le requérant n'a pas donné d'indication relative à la valeur litigieuse. Dans la mesure où celle-ci est difficilement déterminable, elle sera évaluée par la Cour à 30'000 fr. Au vu de la notoriété et du prix des services offerts par le requérant, on peut en effet admettre que le gain manqué par lui sur le chiffre d'affaires non réalisé à Genève en raison de la violation de ses droits atteint au minimum ce montant. La voie du recours en matière civile au Tribunal fédéral est donc ouverte. * * * * * PAR CES MOTIFS, La Chambre civile Statuant en instance cantonale unique et sur mesures provisionnelles : A la forme : Déclare recevable la requête de mesures provisionnelles formée le 16 septembre 2021 par A______ à l'encontre de B______ SA. Au fond : Ordonne à B______ SA de modifier au sens des considérants son site internet afin que celui-ci ne constitue plus la copie servile du site "G______.ch" dans la dénomination des rubriques et des sous-rubriques, dans leur arborescence ainsi que dans le contenu des textes y figurant. Lui impartit un délai de quinze jours à compter de la notification du présent arrêt pour s'exécuter en ce sens. Signifie la présente décision sous la menace de la peine prévue par l'art. 292 CP qui prévoit que " celui qui ne se sera pas conformé à une décision à lui signifiée, sous la menace de la peine prévue au présent article, par une autorité ou un fonctionnaire compétents sera puni d'une amende ". Impartit à A______ un délai de soixante jours, à compter de la notification du présent arrêt, pour valider les mesures provisionnelles par le dépôt d'une action au fond, sous peine de caducité. Dit que, sous réserve de leur modification ou révocation, les présentes mesures provisionnelles demeureront en vigueur jusqu'à droit jugé sur l'action au fond ou accord entre les parties. Déboute les parties de toutes autres conclusions. Sur les frais : Arrête les frais judiciaires à 5'000 fr. et dit qu'ils sont compensés avec l'avance de frais versée par A______, qui reste acquise à l'Etat de Genève. Met lesdits frais à la charge de B______ SA. Condamne par conséquent B______ SA à payer la somme de 5'000 fr. à A______ à titre de remboursement de son avance. Condamne B______ SA à verser à A______ 6'000 fr. à titre de dépens, débours et TVA inclus. Siégeant : Madame Jocelyne DEVILLE-CHAVANNE, présidente; Madame Verena PEDRAZZINI RIZZI, Madame Nathalie LANDRY-BARTHE,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