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C/1770/2020 vom 8. Januar 2021</w:t>
      </w:r>
    </w:p>
    <w:p>
      <w:r>
        <w:t>GE Cour de justice, 2021-01-08, FR</w:t>
      </w:r>
    </w:p>
    <w:p>
      <w:r>
        <w:rPr>
          <w:b/>
        </w:rPr>
        <w:t xml:space="preserve">Quelle: </w:t>
      </w:r>
      <w:r>
        <w:t>https://mcp.opencaselaw.ch/entscheid/ge_gerichte_C_1770_2020</w:t>
      </w:r>
    </w:p>
    <w:p>
      <w:r>
        <w:t>FR: GE_GERICHTE C/1770/2020 du 8 janvier 2021</w:t>
      </w:r>
    </w:p>
    <w:p>
      <w:r>
        <w:t>IT: GE_GERICHTE C/1770/2020 del 8 gennaio 2021</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Lorsqu'elle statue sur l'autorité parentale, l'autorité de protection de l'enfant règle également les autres points litigieux, l'action alimentaire étant réservée (art. 298b al. 3 CC). Les nouvelles dispositions du Code civil relatives à l'autorité parentale sont entrées en vigueur le 1 er juillet 2014 (RO 2014 357). Contrairement à ce qui prévalait précédemment, l'attribution de l'autorité parentale conjointe aux parents divorcés (art. 133 CC) ou non mariés (art. 298a CC) est désormais la règle (Hausheer/Geiser/Aebi-Müller, Das Familienrecht des Schweizerischen Zivilgasetzbuches, 5 e éd. Berne 2014, n° 10.135 p. 188), sans qu'un accord des parents sur ce point ne soit nécessaire.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 5A_904/2015 du 29 septembre 2016 consid. 3.2.3 destiné à la publication).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particulièrement l'arrêt 5A_904/2015 du 29 septembre 2016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(arrêt 5A_904/2015 du 29 septembre 2016 consid. 3.2.4).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Dans le cas d'espèce, l'autorité parentale conjointe n'a pas été remise en cause devant la Chambre de surveillance, de sorte qu'elle est acquise, ce d'autant plus qu'elle ne paraît pas être contraire à l'intérêt de l'enfant. Les deux parents, au-delà de leurs divergences, disposent en effet de bonnes compétences parentales et sont impliqués dans le suivi et la prise en charge du mineur, ainsi que soucieux de son bon développement. 2.2.2 Seule l'attribution aux deux parties de la garde alternée sur leur fils est contestée par la recourante. L'application des modalités fixées dans l'ordonnance litigieuse aboutirait au résultat que l'enfant passerait un nombre à peu près équivalent de nuits chez son père et chez sa mère; il convient de déterminer si cette prise en charge est conforme à son intérêt. Il ressort du rapport d'évaluation sociale du 21 juillet 2020 que le mineur H______ présente un retard du développement, pour lequel il fait l'objet d'un suivi régulier. A la fin de l'été, il quittera la crèche pour intégrer un établissement scolaire, sans que ledit établissement soit encore connu; celui-ci devrait en principe se trouver dans le quartier 3______, où vit sa mère, auprès de laquelle il est domicilié. La situation du mineur est par conséquent destinée à évoluer dans le courant de ces prochains mois. Il en va de même s'agissant de la situation de B______. En effet, si celui-ci est actuellement sans emploi, un tel état ne saurait toutefois perdurer indéfiniment, compte tenu notamment de son devoir d'entretien à l'égard de son enfant. Il découle de ce qui précède que la disponibilité actuelle de B______ n'est que momentanée. En l'état, celui-ci vit par ailleurs dans un logement provisoire, dont le lieu de situation est peu clair, ses courriers faisant état du 13 rue 1______ ou mentionnant le 4, rue 5______, sans autre explication utile. Quoiqu'il en soit et selon ce qui ressort du rapport d'évaluation sociale, B______ occupe actuellement un studio. Quand bien même ce logement a été aménagé pour y accueillir un enfant, il n'en demeure pas moins qu'il ne permet pas au mineur de disposer d'une véritable chambre et d'y être confortablement installé. B______ sera par ailleurs amené à devoir trouver un nouveau domicile, plus pérenne, sans qu'il soit possible, à ce stade, de savoir s'il se trouvera, ou pas, à proximité du lieu de vie de la recourante et de l'école que fréquentera l'enfant. S'ajoute à cette situation évolutive le fait que les relations entre les parents demeurent tendues et qu'ils parviennent difficilement à organiser la prise en charge de leur fils, ces différents éléments n'étant, à priori, pas favorables à la mise en oeuvre d'une garde alternée, même si les deux parties présentent individuellement de bonnes capacités parentales. Le Service d'évaluation et d'accompagnement de la séparation parentale a d'ailleurs préconisé, dans son rapport du 21 juillet 2020, l'attribution de la garde de fait de l'enfant à sa mère et l'octroi d'un large droit de visite au père. Ledit service a notamment relevé que si, certes, une garde alternée pouvait être considérée comme une solution particulièrement profitable pour assurer le meilleur accès de l'enfant aux ressources de ses deux parents, une telle modalité de prise en charge nécessitait d'être organisée dans un contexte stable et durable, en fonction des besoins de l'enfant, encore très jeune. Par ailleurs, dans une telle hypothèse, l'ampleur de l'effort d'adaptation qui serait demandé à l'enfant était inconnue, de sorte qu'il semblait hasardeux de conclure en faveur d'une garde alternée. Le représentant du Service d'évaluation et d'accompagnement de la séparation parentale, entendu par le Tribunal de protection le 26 octobre 2020, a certes indiqué qu'il était envisageable de remplacer les deux soirées de droit de visite préconisées dans le rapport du 21 juillet 2020 par une nuit supplémentaire chez le père. Les raisons ayant motivé cette modification des recommandations initiales n'apparaissent toutefois guère convaincantes et semblent faire fi de l'analyse à laquelle s'était pourtant livré ledit service dans son rapport initial. Il sera par ailleurs relevé que dans ses observations adressées à la Chambre de surveillance, le même service a finalement déclaré maintenir l'ensemble de son préavis du 21 juillet 2020. De l'avis de la Chambre de surveillance, compte tenu du jeune âge de l'enfant et de la situation encore largement évolutive sur plusieurs plans, il paraît prématuré de prévoir, à ce stade déjà, une garde alternée, avec le risque qu'elle ne puisse être maintenue sur le long, voire même sur le moyen terme, ce qui serait préjudiciable pour la stabilité du mineur. S'il paraît certes essentiel pour le bon développement de l'enfant de lui permettre d'avoir un large accès à son père, il n'apparaît en revanche pas essentiel qu'il partage, de manière quasiment égale, son temps entre ses deux parents. Au vu de ce qui précède, la garde du mineur sera attribuée à la mère, qui s'en est principalement occupée depuis la séparation des parties et un droit de visite devant s'exercer, sauf accord contraire des parents, un soir par semaine jusqu'au lendemain matin (soit en l'état le mercredi à la sortie de la crèche jusqu'au jeudi matin retour à la crèche), un week-end sur deux du vendredi 18h00 jusqu'au dimanche 18h00 et durant la moitié des vacances scolaires, sera réservé au père. La bonification pour tâches éducatives de l'AVS sera par conséquent intégralement attribuée à la recourante. Les chiffres 2 et 4 du dispositif de l'ordonnance attaquée seront annulés et il sera statué conformément à ce qui précède. Il ne se justifie pas d'annuler le chiffre 3 qui n'est pas contraire à la solution ainsi adoptée, puisque le domicile légal du mineur sera effectivement auprès de sa mère.</w:t>
      </w:r>
    </w:p>
    <w:p>
      <w:r>
        <w:rPr>
          <w:b/>
        </w:rPr>
        <w:t>E. 3</w:t>
      </w:r>
    </w:p>
    <w:p>
      <w:r>
        <w:t>Les frais judiciaires de la procédure de recours, arrêtés à 400 fr. (art. 67A et 67B RTFMC), seront mis à la charge de B______, qui succombe (art. 106 al. 1 CPC). Ils seront compensés avec l'avance versée par la recourante, qui reste acquise à l'Etat de Genève (art. 111 al. 1 CPC). B______ sera, en conséquence, condamné à verser la somme de 400 fr. à la recourante, à titre de remboursement des frais judiciaires. Il ne sera pas alloué de dépens, compte tenu de la nature familiale du litige (art. 107 al. 1 let. c CPC). * * * * * PAR CES MOTIFS, La Chambre de surveillance : A la forme : Déclare recevable le recours formé par A______ contre l'ordonnance DTAE/7166/2020 du 26 octobre 2020 rendue par le Tribunal de protection de l'adulte et de l'enfant dans la cause C/1770/2020. Au fond : Annule les chiffres 2 et 4 du dispositif de l'ordonnance attaquée et statuant à nouveau sur ces points: Attribue à A______ la garde du mineur H______, né le ______ 2016. Réserve à B______ un droit de visite sur l'enfant, lequel s'exercera, sauf accord contraire des parties, un soir par semaine jusqu'au lendemain matin (soit en l'état le mercredi à la sortie de la crèche jusqu'au jeudi matin retour à la crèche), un week-end sur deux du vendredi 18h00 jusqu'au dimanche 18h00 et durant la moitié des vacances scolaires. Attribue à A______ l'entier de la bonification pour tâches éducatives de l'AVS. Confirme l'ordonnance attaquée pour le surplus. Sur les frais : Arrête les frais judiciaires du recours à 400 fr., les compense avec l'avance de frais versée par la recourante, qui reste acquise à l'Etat de Genève et les met à la charge de B______. Condamne en conséquence B______ à verser à A______ la somme de 400 fr.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