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C/17624/2012 vom 29. August 2013</w:t>
      </w:r>
    </w:p>
    <w:p>
      <w:r>
        <w:t>GE Cour de justice, 2013-08-29, FR</w:t>
      </w:r>
    </w:p>
    <w:p>
      <w:r>
        <w:rPr>
          <w:b/>
        </w:rPr>
        <w:t xml:space="preserve">Quelle: </w:t>
      </w:r>
      <w:r>
        <w:t>https://mcp.opencaselaw.ch/entscheid/ge_gerichte_C_17624_2012</w:t>
      </w:r>
    </w:p>
    <w:p>
      <w:r>
        <w:t>FR: GE_GERICHTE C/17624/2012 du 29 août 2013</w:t>
      </w:r>
    </w:p>
    <w:p>
      <w:r>
        <w:t>IT: GE_GERICHTE C/17624/2012 del 29 agosto 2013</w:t>
      </w:r>
    </w:p>
    <w:p>
      <w:pPr>
        <w:pStyle w:val="Heading2"/>
      </w:pPr>
      <w:r>
        <w:t>Regeste</w:t>
      </w:r>
    </w:p>
    <w:p>
      <w:r>
        <w:t>REPRÉSENTATION EN PROCÉDURE; CONDITION DE RECEVABILITÉ; VICE DE PROCÉDURE | CPC.60; CPC.68; CPC.132; LaCC.15</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moins.![endif]&gt;![if&gt; La décision incidente est sujette à recours immédiat (art. 237 al. 2 CPC). L'appel, écrit et motivé, est introduit dans les trente jours à compter de la notification de la décision motivée (art. 311 CPC). Le présent appel, qui respecte les dispositions précitées, est recevable. Les pièces, dont rien n'indique qu'elles n'auraient pas pu être déposées en première instance, et allégués nouveaux de l'intimée seront écartés (art. 317 CPC).</w:t>
      </w:r>
    </w:p>
    <w:p>
      <w:r>
        <w:rPr>
          <w:b/>
        </w:rPr>
        <w:t>E. 2</w:t>
      </w:r>
    </w:p>
    <w:p>
      <w:r>
        <w:t>L'appelante reproche aux premiers juges de ne pas avoir statué sur la question de savoir qui représente l'intimée dans la présente procédure, ainsi que d'avoir retenu que les deux représentants potentiels étaient dotés de la qualité de mandataire professionnellement qualifié.</w:t>
      </w:r>
    </w:p>
    <w:p>
      <w:r>
        <w:rPr>
          <w:b/>
        </w:rPr>
        <w:t>E. 2.1</w:t>
      </w:r>
    </w:p>
    <w:p>
      <w:r>
        <w:t>L'art. 68 al. 1 CPC dispose que toute personne capable d'ester en justice peut se faire représenter au procès. Sont autorisées à représenter les parties à titre professionnel devant les juridictions spéciales en matière de contrat de bail et de contrat de travail, les mandataires professionnellement qualifiés, si le droit cantonal le prévoit. L'art. 15 LaCC autorise la représentation par mandataires professionnellement qualifiés devant le tribunal des prud'hommes et la chambre des prud'hommes de la Cour de justice.</w:t>
      </w:r>
    </w:p>
    <w:p>
      <w:r>
        <w:rPr>
          <w:b/>
        </w:rPr>
        <w:t>E. 2.2</w:t>
      </w:r>
    </w:p>
    <w:p>
      <w:r>
        <w:t>Selon la pratique des autorités cantonales, développées sous l'angle de l'ancien droit de procédure cantonale, la qualité de mandataire professionnellement qualifié est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4A_268/2010 du 21 octobre 2010, consid. 6.2). Ce qui est déterminant, c'est que l'organisation puisse mettre à disposition des plaideurs, au minimum, un collaboratrice ou un collaborateur doté des connaissances théoriques et pratiques nécessaires aux affaires. La vérification des qualités de l'organisation est ainsi liée à celle du collaborateur qui intervient en son nom (arrêt du Tribunal fédéral précité, consid. 6.4).</w:t>
      </w:r>
    </w:p>
    <w:p>
      <w:r>
        <w:rPr>
          <w:b/>
        </w:rPr>
        <w:t>E. 2.3</w:t>
      </w:r>
    </w:p>
    <w:p>
      <w:r>
        <w:t>Le tribunal examine d'office si les conditions de recevabilité sont remplies (art. 60 CPC). L'art. 132 prévoit que le tribunal fixe un délai pour la rectification des vices de forme telle que l'absence de signature ou de procuration. A défaut l'acte n'est pas pris en considération (al. 1). L'al. 1 s'applique également aux actes illisibles, inconvenants, incompréhensibles, ou prolixes (al. 2).</w:t>
      </w:r>
    </w:p>
    <w:p>
      <w:r>
        <w:rPr>
          <w:b/>
        </w:rPr>
        <w:t>E. 2.4</w:t>
      </w:r>
    </w:p>
    <w:p>
      <w:r>
        <w:t>En l'occurrence, il apparaît que les actes déposés à la procédure par l'intimée ne sont pas compréhensibles, s'agissant de la question de la représentation de celle-ci. En effet, il résulte de la page de garde de la demande que l'intimée fait élection de domicile auprès de C______ mais comparaît non par cette association, mais par D______, et que seul celui-ci – mais sous l'intitulé C______ - dans la prise de position de première instance de l'intimée, requiert la reconnaissance de la qualité de mandataire professionnellement qualifié en sa propre faveur et non en celle de l'association. Selon sa réponse à l'appel, dont la page de garde est rédigée de façon identique à celle de la demande, l'intimée conclut à ce que tant D______ que C______ se voient reconnaître cette qualité. Par ailleurs, la procuration générale figurant à la procédure concerne C______ et "ses représentants", avec la précision que l'association est autorisée à agir en justice. Il résulte de ce qui précède que la situation n'est pas claire, de sorte que la décision attaquée apparaît prématurée. Il s'impose dès lors de l'annuler, et de renvoyer la cause au Tribunal, en application de l'art. 318 CPC. Avant de rendre une nouvelle décision, le tribunal devra faire application de l'art. 132 CPC en octroyant un délai à l'intimée pour déposer un acte compréhensible quant à l'identité de son représentant. Pour le cas où il résulterait de cette démarche que C______ serait mandatée, la production des pièces permettant de connaître le mode de représentation de cette personne morale, singulièrement les pouvoirs dont disposent ses organes de droit ou de fait devrait être ordonnée, de même que la détermination des collaborateurs susceptibles de la représenter en procédure. C'est dans ce cadre que devraient être, cas échéant, examinées les compétences et connaissances théoriques et pratiques de D______.</w:t>
      </w:r>
    </w:p>
    <w:p>
      <w:r>
        <w:rPr>
          <w:b/>
        </w:rPr>
        <w:t>E. 3</w:t>
      </w:r>
    </w:p>
    <w:p>
      <w:r>
        <w:t>La procédure est gratuite, compte tenu de la valeur litigieuse (art. 71 RTFMC).![endif]&gt;![if&gt; Il n'est pas alloué de dépens (art. 22 al. 2 LaCC). * * * * * PAR CES MOTIFS, La Chambre des prud'hommes, groupe 4 : À la forme : Déclare recevable l'appel formé par A______ contre le jugement rendu le 23 avril 2013 par le Tribunal des prud'hommes. Au fond : Annule ce jugement Renvoie la cause au Tribunal pour instruction complémentaire et nouvelle décision. Siégeant : Madame Sylvie DROIN, présidente, Monsieur Michel BOHNENBLUST,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