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C/17589/2022 vom 3. Oktober 2023</w:t>
      </w:r>
    </w:p>
    <w:p>
      <w:r>
        <w:t>GE Cour de justice, 2023-10-03, FR</w:t>
      </w:r>
    </w:p>
    <w:p>
      <w:r>
        <w:rPr>
          <w:b/>
        </w:rPr>
        <w:t xml:space="preserve">Quelle: </w:t>
      </w:r>
      <w:r>
        <w:t>https://mcp.opencaselaw.ch/entscheid/ge_gerichte_C_17589_2022</w:t>
      </w:r>
    </w:p>
    <w:p>
      <w:r>
        <w:t>FR: GE_GERICHTE C/17589/2022 du 3 octobre 2023</w:t>
      </w:r>
    </w:p>
    <w:p>
      <w:r>
        <w:t>IT: GE_GERICHTE C/17589/2022 del 3 ottobre 2023</w:t>
      </w:r>
    </w:p>
    <w:p>
      <w:pPr>
        <w:pStyle w:val="Heading2"/>
      </w:pPr>
      <w:r>
        <w:t>Regeste</w:t>
      </w:r>
    </w:p>
    <w:p>
      <w:r>
        <w:t>CPC.325.al2</w:t>
      </w:r>
    </w:p>
    <w:p>
      <w:pPr>
        <w:pStyle w:val="Heading2"/>
      </w:pPr>
      <w:r>
        <w:t>Volltext</w:t>
      </w:r>
    </w:p>
    <w:p>
      <w:r>
        <w:t>Genf Cour de Justice (Cour civile) Chambre civile 24.10.2023 C/17589/2022 Genève Cour de Justice (Cour civile) Chambre civile 24.10.2023 C/17589/2022 Ginevra Cour de Justice (Cour civile) Chambre civile 24.10.2023 C/17589/2022</w:t>
      </w:r>
    </w:p>
    <w:p>
      <w:r>
        <w:t>C/17589/2022 ACJC/1433/2023 du 24.10.2023 ( OO ) Normes : CPC.325.al2 republique et canton de geneve POUVOIR JUDICIAIRE C/17589/2022 ACJC/1433/2023 ARRÊT DE LA COUR DE JUSTICE Chambre civile DU MARDI 24 OCTOBRE 2023 Entre A ______ , sise ______ [BS], recourante contre une ordonnance rendue par la 5ème Chambre du Tribunal de première instance de ce canton le 3 octobre 2023, représentée par Me Alexander BLARER, avocat, avenue Mon-Repos 14, 1005 Lausanne, et 1) Monsieur B ______ , 2) Monsieur C ______ , 3) Monsieur D ______ , domiciliés ______, KOWEÏT, intimés, 4) E ______ CO , ______, KOWEÏT, autre intimée, tous quatre représentés par Me Grégoire WUEST, avocat, rue des Alpes 15bis, case postale 2088, 1211 Genève 1. Attendu, EN FAIT , que, par ordonnance du 3 octobre 2023, reçue par [la banque] A______ le 6 octobre 2023, le Tribunal de première instance a notamment transmis aux parties une copie de la garantie bancaire du 28 septembre 2023 établie par [la banque] F______ pour le compte de B______, C______ et D______ et E______ CO et imparti à A______ un délai au 3 novembre 2023 pour répondre à la demande en paiement formée par les précités; Que, le 16 octobre 2023, A______ a formé recours contre cette ordonnance, concluant principalement à ce que la Cour l'annule, constate que les intimés n'ont pas fourni de sûretés appropriées au sens de l'art. 99 CPC, leur impartisse un bref délai supplémentaire pour le faire et dise qu'à défaut la demande sera déclarée irrecevable, le tout avec suite de frais et dépens; Qu'elle fait notamment valoir que la garantie bancaire fournie à titre de sûretés en garantie des dépens par ses parties adverses ne remplit pas les conditions posées par l'art. 100 CPC; Qu'elle a requis l'octroi de l'effet suspensif à son recours, soutenant que, à défaut, elle serait contrainte de déposer une écriture en réponse alors qu'il était possible que le Tribunal n'entre finalement pas en matière sur la demande en raison de l'absence de fourniture de suretés; Que les intimés se sont opposés à la requête d'effet suspensif, faisant valoir que A______ n'avait pas établi qu'elle risquait de subir un préjudice difficilement réparable, étant précisé que les frais engagés par la recourante pour la rédaction de sa réponse pourraient au besoin être recouvrés ultérieurement; Qu'ils soulignent que, si par impossible, la Cour devait confirmer que la garantie fournie par leurs soins ne remplissait pas les exigences légales, ils en déposeraient immédiatement une nouvelle, conforme aux injonctions de la Cour; Considérant, EN DROIT , que selon l'art. 325 al. 2 CPC, l'autorité de recours peut suspendre le caractère exécutoire de la décision attaquée si la partie concernée risque de subir un préjudice difficilement réparable; Que, saisie d'une demande d'effet suspensif, l'autorité cantonale de recours doit procéder à une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dans la mesure où des questions de recevabilité de l'instance sont soulevées devant la Cour, il paraît prématuré de débuter d'ores et déjà l'échange d'écritures au fond; Que le report du délai pour répondre à la demande n'est pas susceptible de causer un préjudice difficilement réparable aux intimés; Que, contrairement à ce qu'ils font valoir, dans la mesure où le litige porte à ce stade sur le versement des sûretés en garantie des dépens, il y a un risque que les frais engagés par la recourante en lien avec la rédaction de sa réponse ne puissent pas être recouvrés; Que le fait que les intimés aient assuré dans leur réponse qu'ils fourniront au besoin une nouvelle garantie bancaire n'est pas décisif à ce stade; Qu'il sera dès lors fait droit à la requête d'octroi de l'effet suspensif; Qu'il sera statué sur les frais liés à la présente décision dans l'arrêt rendu sur le fond (art. 104 al. 3 CC). * * * * * PAR CES MOTIFS, La Chambre civile : Statuant sur requête de suspension du caractère exécutoire de l'ordonnance entreprise : Admet la requête de A______ tendant à suspendre l'effet exécutoire attaché au dispositif de l'ordonnance rendue le 3 octobre 2023 par le Tribunal de première instance dans la cause C/17589/2022. Dit qu'il sera statué sur les frais liés à la présente décision dans l'arrêt rendu sur le fond. Siégeant : Madame Paola CAMPOMAGNANI, présidente ad interim ; Madame Sandra CARRIER, greffière.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