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C/17570/2015 vom 12. Februar 2016</w:t>
      </w:r>
    </w:p>
    <w:p>
      <w:r>
        <w:t>GE Cour de justice, 2016-02-12, FR</w:t>
      </w:r>
    </w:p>
    <w:p>
      <w:r>
        <w:rPr>
          <w:b/>
        </w:rPr>
        <w:t xml:space="preserve">Quelle: </w:t>
      </w:r>
      <w:r>
        <w:t>https://mcp.opencaselaw.ch/entscheid/ge_gerichte_C_17570_2015</w:t>
      </w:r>
    </w:p>
    <w:p>
      <w:r>
        <w:t>FR: GE_GERICHTE C/17570/2015 du 12 février 2016</w:t>
      </w:r>
    </w:p>
    <w:p>
      <w:r>
        <w:t>IT: GE_GERICHTE C/17570/2015 del 12 febbraio 2016</w:t>
      </w:r>
    </w:p>
    <w:p>
      <w:pPr>
        <w:pStyle w:val="Heading2"/>
      </w:pPr>
      <w:r>
        <w:t>Regeste</w:t>
      </w:r>
    </w:p>
    <w:p>
      <w:r>
        <w:t>PROTECTION DE L'UNION CONJUGALE; EFFET SUSPENSIF | CPC.315</w:t>
      </w:r>
    </w:p>
    <w:p>
      <w:pPr>
        <w:pStyle w:val="Heading2"/>
      </w:pPr>
      <w:r>
        <w:t>Volltext</w:t>
      </w:r>
    </w:p>
    <w:p>
      <w:r>
        <w:t>Genf Cour de Justice (Cour civile) Chambre civile 12.02.2016 C/17570/2015 Genève Cour de Justice (Cour civile) Chambre civile 12.02.2016 C/17570/2015 Ginevra Cour de Justice (Cour civile) Chambre civile 12.02.2016 C/17570/2015</w:t>
      </w:r>
    </w:p>
    <w:p>
      <w:r>
        <w:t>PROTECTION DE L'UNION CONJUGALE; EFFET SUSPENSIF | CPC.315</w:t>
      </w:r>
    </w:p>
    <w:p>
      <w:r>
        <w:t>C/17570/2015 ACJC/193/2016 du 12.02.2016 sur JTPI/587/2016 ( SDF ) Descripteurs : PROTECTION DE L'UNION CONJUGALE; EFFET SUSPENSIF Normes : CPC.315 Par ces motifs RÉPUBLIQUE ET CANTON DE GENÈVE POUVOIR JUDICIAIRE C/17570/2015 ACJC/193/2016 ARRÊT DE LA COUR DE JUSTICE Chambre civile du VENDREDI 12 FÉVRIER 2016 Entre Monsieur A______ , domicilié ______, (GE), appelant d'un jugement rendu par la 16ème Chambre du Tribunal de première instance de ce canton le 20 janvier 2016, comparant en personne, et Madame B______ , domiciliée ______, (GE), intimée, comparant en personne. Vu, EN FAIT , le jugement du Tribunal de première instance JTPI/587/2016 du 20 janvier 2016, notifié le lendemain à A______, par lequel le Tribunal, statuant sur mesures protectrices de l'union conjugale, l'a, notamment, condamné à contribuer à hauteur de 1'5000 fr. par mois à l'entretien de B______ à compter du 1 er janvier 2016 (ch. 2) et a attribué à celle-ci la jouissance exclusive du domicile conjugal (ch. 3), le mari disposant d'un mois dès le prononcé du jugement pour quitter celui-ci (ch. 4); Vu l'appel expédié le 30 janvier 2016 par A______ au greffe de la Cour de justice, par lequel il critique l'attribution du domicile conjugal à son épouse, faisant valoir que c'était toujours lui qui s'était acquitté du loyer et considérant que la contribution d'entretien est trop élevée, compte tenu du fait que son épouse avait sous-loué une chambre de l'appartement pour 450 fr. par mois; Qu'il demande à la Cour "de suspendre le jugement"; Qu'invitée à se déterminer sur la requête d'effet suspensif, l'intimée s'y oppose, expliquant que le bail n'avait pu être signé que grâce à ses relations personnelles; son mari avait versé le loyer de mai 2012 à décembre 2014; c'était elle qui l'avait intégralement assumé en 2015; elle avait, d'un commun accord avec son mari, sous-loué une pièce de l'appartement pendant 18 mois, tant pour rendre service à une amie que pour faire face aux charges du ménage lorsque son époux était au chômage; ce n'était que lorsqu'elle l'avait accompagné à l'Hospice général qu'elle avait appris qu'il avait perçu des indemnités de chômage qu'il lui avait cachées;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ressort du dossier que les relations entre les parties sont particulièrement tendues, de sorte que la cohabitation pendant la procédure d'appel s'apparente à un préjudice difficilement réparable; Que l'appelant est au bénéfice d'un revenu de 5'500 fr. par mois, alors que l'intimée ne réalise que des revenus irréguliers et faibles en tant que courte-pointière; Qu'il apparaît ainsi que l'appelant devrait, sous l'angle de la vraisemblance, être en mesure de trouver une solution de logement, même temporaire, pendant la procédure d'appel, de sorte que l'exécution du jugement querellé n'est pas susceptible de lui causer un préjudice difficilement réparable; Que, partant, la requête d'effet suspensif sera rejetée sur ce point; Que, par ailleurs, elle doit également l'être s'agissant de la contribution d'entretien mise à sa charge, dès lors que ses revenus de 5'500 fr. et ses charges non contestées de 2'561 fr. 40 lui permettent de s'acquitter de la somme de 1'500 fr., tout en lui laissant un disponible de près de 1'500 fr. par mois; Que si son appel était admis, l'appelant pourra compenser les montants éventuels versés en trop pendant la procédure d'appel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et mesures provisionnelles : Rejette la requête de A______ tendant à la suspension de l'effet exécutoire attaché aux chiffres 2, 3 et 4 du jugement JTPI/587/2016 rendu le 20 janvier 2016 par le Tribunal de première instance dans la procédure C/17570/2015-16.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