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C/17445/2024 vom 25. März 2025</w:t>
      </w:r>
    </w:p>
    <w:p>
      <w:r>
        <w:t>GE Cour de justice, 2025-03-25, FR</w:t>
      </w:r>
    </w:p>
    <w:p>
      <w:r>
        <w:rPr>
          <w:b/>
        </w:rPr>
        <w:t xml:space="preserve">Quelle: </w:t>
      </w:r>
      <w:r>
        <w:t>https://mcp.opencaselaw.ch/entscheid/ge_gerichte_C_17445_2024</w:t>
      </w:r>
    </w:p>
    <w:p>
      <w:r>
        <w:t>FR: GE_GERICHTE C/17445/2024 du 25 mars 2025</w:t>
      </w:r>
    </w:p>
    <w:p>
      <w:r>
        <w:t>IT: GE_GERICHTE C/17445/2024 del 25 marzo 2025</w:t>
      </w:r>
    </w:p>
    <w:p>
      <w:pPr>
        <w:pStyle w:val="Heading2"/>
      </w:pPr>
      <w:r>
        <w:t>Regeste</w:t>
      </w:r>
    </w:p>
    <w:p>
      <w:r>
        <w:t>CC.176.al1.ch2</w:t>
      </w:r>
    </w:p>
    <w:p>
      <w:pPr>
        <w:pStyle w:val="Heading2"/>
      </w:pPr>
      <w:r>
        <w:t>Volltext</w:t>
      </w:r>
    </w:p>
    <w:p>
      <w:r>
        <w:t>Genf Cour de Justice (Cour civile) Chambre civile 25.03.2025 C/17445/2024 Genève Cour de Justice (Cour civile) Chambre civile 25.03.2025 C/17445/2024 Ginevra Cour de Justice (Cour civile) Chambre civile 25.03.2025 C/17445/2024</w:t>
      </w:r>
    </w:p>
    <w:p>
      <w:r>
        <w:t>C/17445/2024 ACJC/418/2025 du 25.03.2025 sur JTPI/14645/2024 ( SDF ) , CONFIRME Normes : CC.176.al1.ch2 En fait En droit Par ces motifs RÉPUBLIQUE ET CANTON DE GENÈVE POUVOIR JUDICIAIRE C/17445/2024 ACJC/418/2025 ARRÊT DE LA COUR DE JUSTICE Chambre civile DU MARDI 25 MARS 2025 Entre Monsieur A______ , domicilié ______ [GE], appelant d'un jugement rendu par la 23 ème Chambre du Tribunal de première instance de ce canton le 20 novembre 2024, et Madame B______ , domiciliée ______ [GE], intimée, représentée par Me Guy ZWAHLEN, avocat, Rue Monnier 1, case postale 205, 1211 Genève 12. EN FAIT A. Par jugement JTPI/14645/2024 du 20 novembre 2024, le Tribunal de première instance, statuant sur mesures protectrices de l'union conjugale, a autorisé les époux B______ et A______ à vivre séparés (ch. 1 du dispositif), a attribué à B______ la jouissance exclusive du domicile conjugal (ch. 2) et l'usage du véhicule familial "C______/1______ [marque, modèle]" immatriculé GE 2______ (ch. 3) et statué sur les frais judiciaires et les dépens. B. a. Par acte posté le 30 novembre 2024, A______ a formé "recours" contre ce jugement, concluant principalement à l'attribution en sa faveur du véhicule automobile précité, subsidiairement à la mise en place d'un usage partagé dudit véhicule. Il a produit une nouvelle pièce. b. B______ a conclu, par réponse du 27 décembre 2024, au rejet de l'appel et à la confirmation du jugement entrepris, dépens compensés. c. Par avis du 30 janvier 2025, les parties ont été avisées de ce que la cause était gardée à juger. C. Les faits pertinents suivants résultent du dossier : a. B______, née le ______ 1968, et A______, né le ______ 1967, tous deux de nationalité suisse, se sont mariés le ______ 1999 à D______ (Genève). Ils sont les parents de deux enfants, nées le ______ 2001 et le ______ 2003. Du temps de la vie commune, la famille résidait dans une villa mitoyenne sise chemin 3______ no. ______ à E______ [GE], louée au père de B______. Le véhicule de la famille, "C______/1______", est immatriculé GE 2______ au nom de A______. b. Par acte adressé au Tribunal le 24 juillet 2024, B______ a formé une requête de mesures protectrices de l'union conjugale. Elle a notamment conclu à ce que le Tribunal lui attribue la jouissance exclusive du domicile conjugal, ainsi que du mobilier le garnissant et les objets s'y trouvant; de même que la jouissance exclusive du véhicule C______/1______, immatriculé GE 2______. Elle a exposé qu'elle vivait au domicile conjugal avec ses enfants, alors que son époux partait parfois durant plusieurs mois sans donner de nouvelles et revenait de manière "impromptue, même au milieu de la nuit, sans prévenir". c. Lors de l'audience devant le Tribunal du 9 septembre 2024, A______ s'est déclaré d'accord avec le principe de la séparation mais pas avec les modalités requises. Il était parti en vacances du 18 juillet au 17 août 2024. A son retour, il était allé chez sa mère, à F______ [GE], dès lors que son épouse lui avait fait savoir qu'il ne pouvait pas revenir à la maison. Il n'avait pas d'emploi et son dernier mandat remontait au mois d'avril 2023 pour la première partie et au mois de décembre 2023 pour la deuxième partie. Il a sollicité l'attribution en sa faveur du domicile conjugal et du véhicule C______/1______. B______ a exposé que son époux avait créé une association, pour laquelle il avait acheté un véhicule G______/4______ qu'il utilisait exclusivement. A______ a expliqué à cet égard que le véhicule G______/4______, immatriculé à son nom, était utilisé par lui-même ou par des entraîneurs de l'association H______. Actuellement, il s'en servait pour son propre usage personnel, car il n'avait plus accès à la C______. Il n'avait pas de mandats en cours mais ses fournisseurs étaient par exemple dans le canton du Jura. A l'issue de l'audience, la cause a été gardée à juger. d. Dans son jugement, le Tribunal a considéré qu'il était admis que le véhicule familial était resté en possession de B______ depuis la séparation du couple en août 2024. Quant à l'époux, il avait expliqué que – n'ayant plus accès au véhicule susmentionné – il utilisait le véhicule G______/4______ appartenant à son association pour son usage personnel. Dans ces circonstances, A______ ayant une autre solution pour se déplacer, il apparaissait plus équitable d'attribuer – à tout le moins temporairement – la jouissance du véhicule familial à B______, à charge pour elle d'en assumer tous les coûts.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l'art. 320 CPC; arrêt du Tribunal fédéral 5A_235/2023 du 19 avril 2023 consid. 2, résumé in CPC Online, art. 132 CPC). 1.2 En l'espèce, nonobstant son intitulé erroné de recours, l'appel est recevable pour avoir été interjeté auprès de l'autorité compétente (art. 120 al. 1 let. a LOJ), selon la forme prescrite par la loi (art. 130, 131 et 311 CPC) et dans le délai utile de 10 jours (art. 142 al. 3, 271 et 314 al. 1 CPC), à l'encontre d'un jugement de mesures protectrices de l'union conjugale, considéré comme une décision sur mesures provisionnelles (art. 308 al. 1 let. b CPC; ATF 137 III 475 consid. 4.1) rendue dans une affaire pécuniaire puisque portant sur l'attribution de la voiture familiale (sur la nature pécuniaire en matière d'attribution du domicile conjugal : arrêt du Tribunal fédéral 5A_934/2023 du 5 juin 2024 consid. 1), dont la valeur litigieuse atteint 10'000 fr. (en retenant une valeur de leasing de 200 fr. par mois x 12 x 20 = 48'000 fr.; art. 92 al. 2 CPC). 1.3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maxime de disposition est applicable (art. 58 al. 1 CPC). 2. L'appelant produit une pièce nouvelle avec son appel et forme des allégués nouveaux. 2.1 La Cour examine d'office la recevabilité des faits et moyens de preuve nouveaux en appel (Reetz/Hilber, Kommentar zur Schweizerischen Zivilprozessordnung [ZPO],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sont cumulatives (ATF 144 III 349 consid. 4.2.1).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l'appelant expose qu'il ne peut pas utiliser librement le véhicule G______/4______ qui est réservé aux activités de l'association H______, dont il est président. La voiture était pour lui nécessaire car il devait se rendre auprès de sous-traitants dans le Jura en vue de développer son activité professionnelle dans le secteur de l'horlogerie. Or, ces éléments, invoqués pour la première fois en appel alors qu'ils étaient connus de l'appelant déjà durant la procédure de première instance, apparaissent irrecevables. Quant au procès-verbal de la séance du comité de l'association H______, daté du 28 novembre 2024 et produit avec l'acte d'appel, il est certes postérieur au prononcé du jugement de première instance, mais il s'agit d'un procès-verbal établi pour les besoins de la cause, visiblement sur initiative de l'appelant, pour soutenir sa position dans la procédure l'opposant à son épouse. Le procès-verbal indique d'ailleurs que le véhicule pourrait être utilisé "par le requérant", et non pas par le président de l'association, le terme requérant faisant allusion à une position procédurale qui n'a pas de sens dans le document en question. Les faits nouveaux et la pièce nouvelle sont donc irrecevables. Fussent-ils même recevables, ils ne modifieraient pas l'issue de la procédure. 3. 3.1 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 4; arrêt du Tribunal fédéral 5P.179/2002 du 1er juillet 2002 consid. 3.1). 3.2 En l'espèce, l'attribution du domicile conjugal à E______ à l'épouse n'est pas remise en cause en appel. L'intimée y réside avec les deux enfants majeures du couple, de sorte que l'attribution du véhicule à celle-ci apparaît appropriée, pour les besoins de la vie courante, la voiture familiale étant restée en mains de l'intimée depuis la séparation des époux. L'utilité de la voiture est vraisemblablement plus importante à E______, qui est davantage éloignée du centre-ville de Genève, qu'à F______, où réside l'appelant actuellement. De plus, ce dernier a affirmé devant le premier juge qu'il utilisait depuis la séparation la voiture G______/4______, propriété d'une association dont il est président, mais immatriculée à son nom, de sorte qu'il dispose d'une solution de rechange que l'intimée n'a pas. A cet égard, les explications fournies en appel, selon lesquelles il ne pourrait utiliser la voiture G______/4______ que de manière limitée, apparaissent de circonstance et n'emportent pas la conviction. De plus, l'appelant, qui ne travaille pas, ne fournit aucun élément concret et documenté pour soutenir la nécessité d'utiliser une voiture. Eu égard à ce qui précède, l'attribution du véhicule C______/1______ immatriculé GE 2______ à l'intimée est fondée. L'appelant sera donc débouté des fins de son appel. 4. Les frais judiciaires de l'appel, arrêtés à 800 fr. (art. 95 al. 1 et 2, 104 al. 1 et 105 CPC; art. 17 et 31 et 37 RTFMC), seront mis à la charge de l'appelant, qui succombe (art. 106 al. 1 CPC), et compensés avec l'avance de frais de même montant effectuée par celui-ci, qui reste acquise à l'Etat de Genève (art. 111 al. 1 CPC). Il ne sera pas alloué de dépens, l'intimée ayant conclu à ce qu'ils soient compensés. * * * * * PAR CES MOTIFS, La Chambre civile : A la forme : Déclare recevable l'appel interjeté le 30 novembre 2024 par A______ contre le jugement JTPI/14645/2024 rendu le 20 novembre 2024 par le Tribunal de première instance dans la cause C/17445/2024. Au fond : Confirme le jugement entrepris. Déboute les parties de toutes autres conclusions. Sur les frais : Arrête les frais judiciaires d'appel à 800 fr., les met à la charge de A______ et les compense avec l'avance effectuée, qui demeure acquise à l'Etat de Genève.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