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C/17396/2018 vom 29. April 2019</w:t>
      </w:r>
    </w:p>
    <w:p>
      <w:r>
        <w:t>GE Cour de justice, 2019-04-29, FR</w:t>
      </w:r>
    </w:p>
    <w:p>
      <w:r>
        <w:rPr>
          <w:b/>
        </w:rPr>
        <w:t xml:space="preserve">Quelle: </w:t>
      </w:r>
      <w:r>
        <w:t>https://mcp.opencaselaw.ch/entscheid/ge_gerichte_C_17396_2018</w:t>
      </w:r>
    </w:p>
    <w:p>
      <w:r>
        <w:t>FR: GE_GERICHTE C/17396/2018 du 29 avril 2019</w:t>
      </w:r>
    </w:p>
    <w:p>
      <w:r>
        <w:t>IT: GE_GERICHTE C/17396/2018 del 29 aprile 2019</w:t>
      </w:r>
    </w:p>
    <w:p>
      <w:pPr>
        <w:pStyle w:val="Heading2"/>
      </w:pPr>
      <w:r>
        <w:t>Regeste</w:t>
      </w:r>
    </w:p>
    <w:p>
      <w:r>
        <w:t>EXPULSION DE LOCATAIRE;CAS CLAIR | CPC.257</w:t>
      </w:r>
    </w:p>
    <w:p>
      <w:pPr>
        <w:pStyle w:val="Heading2"/>
      </w:pPr>
      <w:r>
        <w:t>Erwägungen</w:t>
      </w:r>
    </w:p>
    <w:p>
      <w:r>
        <w:rPr>
          <w:b/>
        </w:rPr>
        <w:t>E. 4</w:t>
      </w:r>
    </w:p>
    <w:p>
      <w:r>
        <w:t>En vertu de l'art. 128 al. 3 CPC, la partie ou son représentant qui usent de mauvaise foi ou de procédés téméraires sont punis d'une amende disciplinaire de 2000 fr. au plus. En l'espèce, même si l'appel et le recours sont manifestement mal fondés, il ne se justifie pas de condamner l'appelant à une amende disciplinaire.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le recours interjetés le 19 octobre 2018 par A______ contre le jugement JTBL/902/2018 rendu le 2 octobre 2018 par le Tribunal des baux et loyers dans la cause C/17396/2018-7-SD. Au fond : Confirme le jugement attaqué.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