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C/17357/2013 vom 7. September 2015</w:t>
      </w:r>
    </w:p>
    <w:p>
      <w:r>
        <w:t>GE Cour de justice, 2015-09-07, FR</w:t>
      </w:r>
    </w:p>
    <w:p>
      <w:r>
        <w:rPr>
          <w:b/>
        </w:rPr>
        <w:t xml:space="preserve">Quelle: </w:t>
      </w:r>
      <w:r>
        <w:t>https://mcp.opencaselaw.ch/entscheid/ge_gerichte_C_17357_2013</w:t>
      </w:r>
    </w:p>
    <w:p>
      <w:r>
        <w:t>FR: GE_GERICHTE C/17357/2013 du 7 septembre 2015</w:t>
      </w:r>
    </w:p>
    <w:p>
      <w:r>
        <w:t>IT: GE_GERICHTE C/17357/2013 del 7 settembre 2015</w:t>
      </w:r>
    </w:p>
    <w:p>
      <w:pPr>
        <w:pStyle w:val="Heading2"/>
      </w:pPr>
      <w:r>
        <w:t>Regeste</w:t>
      </w:r>
    </w:p>
    <w:p>
      <w:r>
        <w:t>BAIL À LOYER; RÉSILIATION ABUSIVE; SOUS-LOCATION | CO.271; CO.262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du logement, charges comprises, s'élève à 9'972 fr. En prenant en compte la durée de trois ans, la valeur litigieuse est supérieure à 10'000 fr. (9'972 fr. x 3 = 29'916 fr.). La voie de l'appel est donc ouverte.</w:t>
      </w:r>
    </w:p>
    <w:p>
      <w:r>
        <w:rPr>
          <w:b/>
        </w:rPr>
        <w:t>E. 1.3</w:t>
      </w:r>
    </w:p>
    <w:p>
      <w:r>
        <w:t>L'appel a été interjeté dans le délai et suivant la forme prescrits par la loi (art. 130, 131, 142 al. 3, 145 al. 1 let. c et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(Hohl, Procédure civile, tome II, 2010, n. 2314 et 2416; Retornaz, op. cit., p. 349 ss, n. 121).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question de la recevabilité des pièces nouvelles produites par les parties en appel peut demeurer ouverte, dans la mesure où ces titres ne sont pas déterminants pour la solution du litige.</w:t>
      </w:r>
    </w:p>
    <w:p>
      <w:r>
        <w:rPr>
          <w:b/>
        </w:rPr>
        <w:t>E. 3</w:t>
      </w:r>
    </w:p>
    <w:p>
      <w:r>
        <w:t>L'appelante fait grief au Tribunal d'avoir retenu que le motif du congé était un prétexte, alors qu'elle avait toujours soutenu que le bail avait été résilié en raison de la sous-location, qui équivalait selon elle à un transfert de bail déguisé. La bailleresse entendait limiter la sous-location dans l'immeuble, ce qui n'était pas contraire aux règles de la bonne foi.</w:t>
      </w:r>
    </w:p>
    <w:p>
      <w:r>
        <w:rPr>
          <w:b/>
        </w:rPr>
        <w:t>E. 3.1</w:t>
      </w:r>
    </w:p>
    <w:p>
      <w:r>
        <w:t>Aux termes de l'art. 271 al. 1 CO, le congé d'un bail d'habitation ou de locaux commerciaux est annulable lorsqu'il contrevient aux règles de la bonne foi, en particulier lorsqu'il est donné par le bailleur parce que le locataire fait valoir de bonne foi des prétentions découlant du bail (art. 271a al. 1 let. a CO). Pour dire si un congé est ou non abusif, il faut connaître le motif réel de la résiliation, dont la constatation relève de l'établissement des faits (ATF 136 III 190 consid. 2, 136 III 513 consid. 2.3). Aux termes de l'art. 271 al. 2 CO, le congé doit être motivé si l'autre partie le demande. Les motifs doivent être donnés de manière claire et facilement intelligible pour le destinataire (arrêt du Tribunal fédéral du 6 août 2003 consid. 3.1). Le motif du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 partie qui résilie est liée par les motifs qu'elle a donnés et peut les compléter et les expliciter en cours de procédure si elle a de bonnes raisons de le faire (arrêts du Tribunal fédéral 4C.61/2005 du 27 mai 2005 consid. 4.3.2, paru in SJ 2006 ch. I, p. 34; 4C.131/2003 du 6 août 2003 consid. 3.1, in MP 2004, p. 55). Il ne peut toutefois pas invoquer en cours de procédure de nouveaux motifs, autres que ceux donnés à l'origine (LACHAT, Le bail à loyer, Lausanne, 2008, p. 732; BOHNET/MONTINI, Droit du bail à loyer, 2010, n o 26 ad art. 271 CO). L'expéditeur du congé doit prouver la réalité du motif qu'il invoque à l'appui de la résiliation. Le destinataire qui conteste l'existence du motif allégué doit prouver les faits qui fondent sa thèse (LACHAT, op. cit., p. 733). Savoir si la partie qui résilie a prouvé ou non la réalité des motifs invoqués à l'appui du congé est une question d'appréciation des preuves (arrêt du Tribunal fédéral du 6 août 2003 consid. 3.1).</w:t>
      </w:r>
    </w:p>
    <w:p>
      <w:r>
        <w:rPr>
          <w:b/>
        </w:rPr>
        <w:t>E. 3.2</w:t>
      </w:r>
    </w:p>
    <w:p>
      <w:r>
        <w:t>Rien n'oblige un locataire à occuper les locaux d'une manière conventionnelle, sachant qu'en ce qui concerne les locaux d'habitation, il n'existe aucune obligation d'usage, sauf clause contractuelle contraire ( ACJC/1571/2009 du 22.12.2009; LACHAT, op. cit., p. 80).</w:t>
      </w:r>
    </w:p>
    <w:p>
      <w:r>
        <w:rPr>
          <w:b/>
        </w:rPr>
        <w:t>E. 3.3</w:t>
      </w:r>
    </w:p>
    <w:p>
      <w:r>
        <w:t>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tout ou partie de la chose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du 30 août 2000 consid. 2b in SJ 2001 I 17). Un congé donné en raison de la sous-location est valable lorsque celle-ci n'a pas été autorisée et lorsque, suite à un examen rétrospectif, il apparaît qu'elle ne devait pas l'être (cf. arrêt du Tribunal fédéral 4A_38/2010 du 1er avril 2010 consid. 3.2, relatif à un congé extraordinaire).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La substitution de locataire, dénuée de toute intention de reprendre un jour l'usage de la chose louée, suppose au préalable que le locataire qui sous-loue a entièrement perdu cet usage. Il appartient au bailleur de prouver ce fait (arrêt du Tribunal fédéral 4A_209/2014 du 16 décembre 2014 consid. 4.2).</w:t>
      </w:r>
    </w:p>
    <w:p>
      <w:r>
        <w:rPr>
          <w:b/>
        </w:rPr>
        <w:t>E. 3.4</w:t>
      </w:r>
    </w:p>
    <w:p>
      <w:r>
        <w:t>En l'espèce, comme le relève à juste titre l'appelante, et contrairement à ce qu'a retenu le Tribunal, le motif réel du congé est la sous-location non autorisée. La bailleresse a exposé les motifs de la résiliation de manière claire dans sa lettre du 2 juillet 2013 accompagnant l'avis de résiliation et n'a pas varié par la suite. Les explications qu'elle a fournies en cours de procédure, en particulier dans sa réponse du 24 mars 2014 au Tribunal, ne peuvent être considérées que comme des précisions et non pas comme de nouveaux motifs de congé - ce que l'appelante ne soutient d'ailleurs pas - dans la mesure où la bailleresse est liée par les motifs qu'elle a donnés à l'origine. Ainsi, il est établi que la bailleresse a résilié le contrat au motif qu'elle n'entendait pas tolérer une "sous-location quelconque" et qu'elle estimait que la locataire n'envisageait plus de revenir à Genève et voulait en réalité procéder à un transfert de bail non autorisé. Il appartenait à l'appelante de prouver les motifs invoqués et en particulier le fait que la locataire, au moment de la résiliation, avait entièrement perdu l'usage de l'appartement, ce qui légitimait son refus d'autorisation communiqué à la locataire le 13 juin 2013. A cet égard, l'intimée a admis que durant la première année, à savoir du 1 er juillet 2012 au 30 juin 2013, elle avait sous-loué la totalité de l'appartement, ce qui résultait d'ailleurs du bail de sous-location signé le 28 avril 2012. En revanche, il ressort du témoignage de la sous-locataire qu'au moment de la résiliation, la sous-location n'était que partielle et que, pour cette raison, le sous-loyer avait été réduit à 750 fr. par mois. L'intimée, qui a conservé un jeu de clés du logement, l'occupe durant une semaine tous les deux à trois mois, lors de ses séjours à Genève. Elle n'a pas mis le logement à la disposition d'un tiers qui séjourne de manière permanente à Genève, mais d'une personne qui n'est pas domiciliée à Genève et n'occupe le logement que durant trois jours par semaine, pour des raisons professionnelles. Même si l'intimée a annoncé son départ à fin juin 2012 à l'Office cantonal de la population et s'est domiciliée avec son compagnon en Espagne, elle n'a donc pas perdu entièrement l'usage du logement, étant relevé qu'elle n'a pas d'obligation contractuelle d'utiliser le logement de façon permanente. Par ailleurs, le droit de sous-louer est garanti par la loi, de sorte que la bailleresse n'est pas légitimée à interdire par principe toute sous-location. En définitive, il apparaît que la résiliation est intervenue parce que la locataire entendait exercer son droit de sous-louer partiellement le logement, aux conditions de l'art. 262 CO. La bailleresse, qui invoque à tort un transfert de bail déguisé, ne prétend pas que la locataire aurait procédé à une sous-location partielle à des conditions abusives (art. 262 al. 2 let. b CO), ni que la sous-location présenterait pour elle des inconvénients majeurs (art. 262 al. 2 let. c CO). Au vu de ce qui précède, le jugement sera confirmé, par substitution de motifs.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janvier 2015 par A______ contre le jugement JTBL/1398/2014 rendu le 1 er décembre 2014 par le Tribunal des baux et loyers dans la cause C/17357/2013-5. Au fond : Le confirme. Dit que la procédure est gratuite. Déboute les parties de toutes autres conclusions. Siégeant : Madame Pauline ERARD, présidente; Madame Sylvie DROIN et Monsieur Ivo BUETTI, juges; Monsieur Alain MAUNOIR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