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C/17258/2006 vom 23. November 2007</w:t>
      </w:r>
    </w:p>
    <w:p>
      <w:r>
        <w:t>GE Cour de justice, 2007-11-23, FR</w:t>
      </w:r>
    </w:p>
    <w:p>
      <w:r>
        <w:rPr>
          <w:b/>
        </w:rPr>
        <w:t xml:space="preserve">Quelle: </w:t>
      </w:r>
      <w:r>
        <w:t>https://mcp.opencaselaw.ch/entscheid/ge_gerichte_C_17258_2006</w:t>
      </w:r>
    </w:p>
    <w:p>
      <w:r>
        <w:t>FR: GE_GERICHTE C/17258/2006 du 23 novembre 2007</w:t>
      </w:r>
    </w:p>
    <w:p>
      <w:r>
        <w:t>IT: GE_GERICHTE C/17258/2006 del 23 novembre 2007</w:t>
      </w:r>
    </w:p>
    <w:p>
      <w:pPr>
        <w:pStyle w:val="Heading2"/>
      </w:pPr>
      <w:r>
        <w:t>Regeste</w:t>
      </w:r>
    </w:p>
    <w:p>
      <w:r>
        <w:t>CONTRAT INDIVIDUEL DE TRAVAIL; NETTOYAGE; RÉSILIATION ABUSIVE; CONGÉ-PRESSION; INDEMNITÉ(EN GÉNÉRAL) | T, tavaillant en qualité de nettoyeur chez E, est licencié par son employeur qui lui soumet, parallèlement, une proposition de nouveau contrat de travail comprenant un salaire réduit au minimum prévu par la CCT ainsi qu'une modification des horaires de travail. T s'oppose à son licenciement et les négociations entreprises par les parties au sujet des nouvelles conditions contractuelles échouent. La Cour, réformant le jugement du Tribunal, retient que le licenciement de T doit être qualifié de congé-modification au sens étroit, E ayant résilié le contrat de tavail en accompagnant sa déclaration de l'offre de poursuivre les rapports de travail à des conditions modifiées. Ce type de congé n'est admissible que si les conditions du marché ou la situation économique de l'entreprise l'imposent. En l'espèce, E n'ayant nullement apporté la preuve qu'elle aurait été économiquement contrainte de recourir au congé-modification, celui-ci est abusif. La Cour alloue a T une indemnité pour licenciement abusif correspondant à six mois de salaire. | CO.336.al1.letd</w:t>
      </w:r>
    </w:p>
    <w:p>
      <w:pPr>
        <w:pStyle w:val="Heading2"/>
      </w:pPr>
      <w:r>
        <w:t>Erwägungen</w:t>
      </w:r>
    </w:p>
    <w:p>
      <w:r>
        <w:rPr>
          <w:b/>
        </w:rPr>
        <w:t>E. 1</w:t>
      </w:r>
    </w:p>
    <w:p>
      <w:r>
        <w:t>L'appel a été interjeté dans le délai et suivant la forme prescrits par la loi, il est partant recevable selon les art. 56 ss de la loi sur la juridiction des prud’hommes (ci-après LJP).</w:t>
      </w:r>
    </w:p>
    <w:p>
      <w:r>
        <w:rPr>
          <w:b/>
        </w:rPr>
        <w:t>E. 2</w:t>
      </w:r>
    </w:p>
    <w:p>
      <w:r>
        <w:t>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 étant domicilié à Genève et ayant travaillé en cette ville.</w:t>
      </w:r>
    </w:p>
    <w:p>
      <w:r>
        <w:rPr>
          <w:b/>
        </w:rPr>
        <w:t>E. 3.1</w:t>
      </w:r>
    </w:p>
    <w:p>
      <w:r>
        <w:t>A teneur de l'art. 29 LJP, le tribunal établit d'office les faits, sans être limité par les offres de preuve des parties. Contrairement à l'art. 343 al. 4 CO, qui prévoit la maxime inquisitoire lorsque la valeur litigieuse ne dépasse pas 30'000 fr., la LJP a introduit la maxime d'office sans limitation de la valeur litigieuse et aussi bien pour la procédure devant le Tribunal des prud'hommes que pour celle devant la Cour d'appel (art. 66 LJP; arrêt 4P.297/2001 du 26 mars 2002, consid. 2a; plus récemment arrêt 4P.15/2004 du 2 avril 2004, consid. 2.2). En l'occurrence, les conclusions de l'appelant, au moment de l'ouverture de l'action (ATF 115 II 30 consid. 5b p. 41), s'élevaient à moins de 30'000 fr., mais la maxime d'office s'applique néanmoins au vu de ce qui précède.</w:t>
      </w:r>
    </w:p>
    <w:p>
      <w:r>
        <w:rPr>
          <w:b/>
        </w:rPr>
        <w:t>E. 4.1</w:t>
      </w:r>
    </w:p>
    <w:p>
      <w:r>
        <w:t>Selon l’art. 196 LPC, applicable à titre supplétif en matière prud’homale (art. 11 LJP), le juge apprécie librement les résultats des mesures probatoires.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 Une offre de preuve, c’est-à-dire la requête en vue de faire administrer une preuve ou un des moyens admis par la loi ne peut donc être écartée que si les faits allégués ne sont pas pertinents ou pas suffisamment circonstanciés (ATF 105 II 144 ; 98 II 117 ),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31 ).</w:t>
      </w:r>
    </w:p>
    <w:p>
      <w:r>
        <w:rPr>
          <w:b/>
        </w:rPr>
        <w:t>E. 4.2</w:t>
      </w:r>
    </w:p>
    <w:p>
      <w:r>
        <w:t>En l’espèce, la Cour estime disposer des éléments nécessaires et suffisants pour forger sa conviction et trancher les questions qui lui sont soumises. Il ressort en effet des témoignages recueillis et des pièces produites une convergence claire qui permet de bien comprendre la nature des propositions formulées par l'intimée et le déroulement des négociations qui s'ensuivirent, ainsi que la finalité, notamment sur le plan salarial, recherchée par l'intimée. Pour l'ensemble de ces motifs, la cause sera donc jugée sans enquêtes supplémentaires.</w:t>
      </w:r>
    </w:p>
    <w:p>
      <w:r>
        <w:rPr>
          <w:b/>
        </w:rPr>
        <w:t>E. 5</w:t>
      </w:r>
    </w:p>
    <w:p>
      <w:r>
        <w:t>Selon l'art. 336 al. 1 let. d CO, un congé est abusif lorsqu'il est donné par une partie parce que l'autre partie fait valoir de bonne foi des prétentions résultant du contrat de travail. Lorsque la résiliation est fonction du refus du travailleur d'accepter une modification des conditions de travail, on est en présence de ce que la doctrine alémanique appelle une "Änderungskündigung", expression qui peut être traduite par "congé-modification". Jurisprudence et doctrine distinguent deux types de congé-modification: le congé-modification au sens étroit se caractérise par le fait qu'une partie résilie le contrat de travail,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rapports de travail (ATF 123 III 246 consid. 3 et les références citées). La jurisprudence s'est demandé si un tel procédé équivalait à une résiliation abusive au sens de l'art. 336 CO. Elle a considéré que l'adaptation d'un contrat de travail aux exigences variables de l'économie ou de l'entreprise devait être possible et admissible, de sorte que la résiliation sous réserve de modification ne saurait apparaître dans tous les cas comme abusive (ATF 123 III 246 consid. 3b p. 250). Il y a cependant abus lorsque la résiliation sert de moyen de pression pour imposer au partenaire contractuel une modification défavorable de ses conditions de travail, alors que ni les conditions du marché ni la situation économique de l'entreprise ne l'imposent (ATF 125 III 70 consid. 2a p. 72; 123 III 246 consid. 3b p. 250 s.). L'abus peut également être réalisé lorsque le travailleur est licencié parce qu'il s'est opposé à des modifications déterminées unilatéralement par l'employeur et devant entrer en vigueur avant l'écoulement du délai de congé (ATF 123 III 246 consid. 3 à 5). Ainsi, dans l'arrêt cité, le Tribunal fédéral a sanctionné le congé que l'employeur avait donné parce que la travailleuse s'était opposée à une réduction immédiate de son salaire. En effet, par son refus d'accepter une réduction que l'employeur voulait lui imposer sans respecter le délai de congé, la travailleuse avait fait valoir une prétention résultant du contrat de travail, au sens de l'art. 336 al. 1 let. d CO.</w:t>
      </w:r>
    </w:p>
    <w:p>
      <w:r>
        <w:rPr>
          <w:b/>
        </w:rPr>
        <w:t>E. 5.2</w:t>
      </w:r>
    </w:p>
    <w:p>
      <w:r>
        <w:t>En l'espèce, le cas de figure à retenir est celui du congé-modification au sens étroit, l'intimée ayant résilié le contrat de travail en accompagnant sa déclaration de l'offre de poursuivre les rapports de travail à des conditions modifiées. Toutefois, l'intimée n'a nullement prouvé, alors que la charge de cette preuve lui incombait, qu'elle était économiquement contrainte de recourir à une telle modification. Aussi faut-il retenir en l'espèce un abus de l'intimée, laquelle a choisi de résilier le contrat de l'appelant afin d'exercer un moyen de pression sur lui pour lui imposer une modification défavorable de ses conditions de travail. En effet, l'intimée n'a pas prouvé que les conditions du marché ou sa situation économique lui imposaient une telle modification, notamment en ne produisant aucun témoignage neutre au sujet du nouveau contrat signé avec les TPG, et en ne versant pas à la procédure les contrats en cause de 2003 et de 2006. Bien au contraire, la production des fiches de salaire de deux des employés visés par le licenciement collectif de février 2006 démontre que ces derniers n'ont subi qu'une baisse infime de leur salaire, pour l'un d'eux (19 centimes de moins), alors que l'autre employé a été augmenté de 75 centimes de l'heure. Ce constat, mis en relation avec la tentative de l'intimée de réduire substantiellement le salaire horaire de l'appelant, par son congé-modification, est représentatif d'une évidente duplicité. Il convient dès lors d'admettre que l'intimée a procédé à un licenciement abusif, arguant d'un motif qu'elle n'a pu établir, et elle doit en supporter les conséquences. Le jugement entrepris sera donc réformé et les prétentions de l'appelant, qui ne sont pas contestées, lui seront allouées, l'abus en question devant être sanctionné par une indemnité de six mois. La somme en question sera toutefois rectifiée et fixée à 24'570 fr. 30 (6 x 4'095.05).</w:t>
      </w:r>
    </w:p>
    <w:p>
      <w:r>
        <w:rPr>
          <w:b/>
        </w:rPr>
        <w:t>E. 6</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 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Il n'y a pas lieu en l'espèce de déroger à ces principes.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