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C/17150/2023 vom 16. September 2024</w:t>
      </w:r>
    </w:p>
    <w:p>
      <w:r>
        <w:t>GE Cour de justice, 2024-09-16, FR</w:t>
      </w:r>
    </w:p>
    <w:p>
      <w:r>
        <w:rPr>
          <w:b/>
        </w:rPr>
        <w:t xml:space="preserve">Quelle: </w:t>
      </w:r>
      <w:r>
        <w:t>https://mcp.opencaselaw.ch/entscheid/ge_gerichte_C_17150_2023</w:t>
      </w:r>
    </w:p>
    <w:p>
      <w:r>
        <w:t>FR: GE_GERICHTE C/17150/2023 du 16 septembre 2024</w:t>
      </w:r>
    </w:p>
    <w:p>
      <w:r>
        <w:t>IT: GE_GERICHTE C/17150/2023 del 16 settembre 2024</w:t>
      </w:r>
    </w:p>
    <w:p>
      <w:pPr>
        <w:pStyle w:val="Heading2"/>
      </w:pPr>
      <w:r>
        <w:t>Regeste</w:t>
      </w:r>
    </w:p>
    <w:p>
      <w:r>
        <w:t>CPC.60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Au vu des montants réclamés, la valeur litigieuse est supérieure à 10'000 fr. La voie de l'appel est dès lors ouverte.</w:t>
      </w:r>
    </w:p>
    <w:p>
      <w:r>
        <w:rPr>
          <w:b/>
        </w:rPr>
        <w:t>E. 1.2</w:t>
      </w:r>
    </w:p>
    <w:p>
      <w:r>
        <w:t>L'appel a été interjeté dans le délai et suivant la forme prescrits par la loi (art. 130, 131, 311 al. 1 et 314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w:t>
      </w:r>
    </w:p>
    <w:p>
      <w:r>
        <w:t>L'appelante se plaint d'une violation de l'art. 60 CPC, reprochant au Tribunal d'avoir retenu que l'intimée pouvait se prévaloir de l'immunité de juridiction.</w:t>
      </w:r>
    </w:p>
    <w:p>
      <w:r>
        <w:rPr>
          <w:b/>
        </w:rPr>
        <w:t>E. 2.1</w:t>
      </w:r>
    </w:p>
    <w:p>
      <w:r>
        <w:t>L'ordre international repose sur le principe que tous les Etats sont souverains et juridiquement égaux. Il s'ensuit qu'en règle générale, aucun Etat ne peut être soumis à la juridiction des tribunaux d'un autre Etat, et que chaque Etat, s'il est néanmoins poursuivi devant les tribunaux d'un autre, peut invoquer l'immunité de juridiction. Comme l'Etat étranger agit par l'intermédiaire de ses organes, qui ne possèdent pas eux-mêmes la personnalité juridique de droit international, le comportement de ces derniers est imputé à l'Etat lui-même, qu'il s'agisse d'un ministère, d'un département, d'un office, d'une représentation diplomatique ou encore d'autres entités dépendantes de l'Etat (ATF 130 III 136 consid. 2.1).</w:t>
      </w:r>
    </w:p>
    <w:p>
      <w:r>
        <w:rPr>
          <w:b/>
        </w:rPr>
        <w:t>E. 2.1.1</w:t>
      </w:r>
    </w:p>
    <w:p>
      <w:r>
        <w:t>Selon les règles générales du droit international public telles que dégagées par la jurisprudence, l'immunité de juridiction d'un Etat étranger n'est reconnue qu'en rapport avec des actes de souveraineté, les actes accomplis jure imperii . En revanche, un Etat étranger ne peut pas se soustraire aux tribunaux du for pour ce qui concerne ses actes de gestion, accomplis jure gestionis . Les premiers s'inscrivent dans l'exercice de la puissance publique; les seconds s'inscrivent dans une activité économique privée et l'Etat étranger agit, par ses organes, au même titre qu'un particulier (ATF 130 III 136 consid. 2.1). Les uns se distinguent des autres non par leur but, parce qu'en dernière analyse, un intérêt étatique se trouve toujours en cause, mais par leur nature intrinsèque. Il importe ainsi de déterminer, en recourant si nécessaire à des critères extrinsèques, si l'acte à l'origine de la prétention élevée en justice relève de la puissance publique ou s'il a fait naître un rapport juridique qui pourrait, dans une forme identique ou similaire, exister aussi entre deux particuliers (ATF 124 III 382 consid. 4a; 134 III 570 consid. 2.2). Le juge doit aussi évaluer les intérêts en présence, c'est-à-dire celui de l'Etat étranger à bénéficier de l'immunité, celui de l'Etat du for à exercer sa souveraineté juridictionnelle et celui de la partie demanderesse à obtenir la protection judiciaire de ses droits (ATF 120 II 400 consid. 4a; 120 II 408 consid. 5a). En d'autres termes, un État étranger peut se prévaloir de son immunité de juridiction lorsqu'il agit en vertu de sa souveraineté ( jure imperii ). En revanche, il peut être assigné devant les tribunaux suisses lorsqu'il agit comme titulaire d'un droit privé ou au même titre qu'un particulier ( jure gestionis ), à condition toutefois que le rapport de droit privé auquel il est partie soit rattaché de manière suffisante au territoire suisse (arrêt du Tribunal fédéral 4A_308/2022 du 20 septembre 2022 consid. 3.1.2).</w:t>
      </w:r>
    </w:p>
    <w:p>
      <w:r>
        <w:rPr>
          <w:b/>
        </w:rPr>
        <w:t>E. 2.1.2</w:t>
      </w:r>
    </w:p>
    <w:p>
      <w:r>
        <w:t>Ces principes correspondent à ceux de la Convention des Nations Unies du 2 décembre 2004 sur les immunités juridictionnelles des Etats et de leurs biens (CNUIJE), signée par la Suisse le 19 septembre 2006 et ratifiée le 16 avril 2010. Bien que cette convention ne soit pas encore entrée en vigueur, faute de ratification par un nombre suffisant d'Etats, il convient néanmoins de s'en inspirer, en l'absence d'autre convention applicable, dès lors qu'elle codifie les principes généraux du droit international coutumier en matière d'immunité de juridiction, et constitue à ce titre une source de droit positif, y compris lorsque l'Etat d'envoi n'est pas signataire de la CNUIJE (arrêt du Tribunal fédéral 4A_331/2014 du 31 octobre 2014 consid. 3.2 et les références citées). A teneur de l'art. 10 al. 1 CNUIJE relatif aux "transactions commerciales", si un État effectue, avec une personne physique ou morale étrangère, une transaction commerciale et si, en vertu des règles applicables de droit international privé, les contestations relatives à cette transaction commerciale relèvent de la juridiction d’un tribunal d’un autre État, l’État ne peut invoquer l’immunité de juridiction devant ce tribunal dans une procédure découlant de ladite transaction.</w:t>
      </w:r>
    </w:p>
    <w:p>
      <w:r>
        <w:rPr>
          <w:b/>
        </w:rPr>
        <w:t>E. 2.2</w:t>
      </w:r>
    </w:p>
    <w:p>
      <w:r>
        <w:t>En l'espèce, l'Etat intimé s'est engagé auprès d'une personne privée en signant un contrat de bail, en qualité de locataire, pour permettre à sa conseillère de disposer d'un logement à titre privé. Ce faisant, l'Etat intimé n'a exercé aucune tâche relevant de la puissance publique, mais a accompli un acte de gestion ( jure gestionis ) dans le cadre d'une opération typiquement contractuelle. Le contrat conclu, signé entre les parties sur un pied d'égalité, ne diffère en effet en rien de celui qu'aurait pu signer une personne privée. Cette relation contractuelle présente un lien suffisant avec la Suisse dès lors qu'elle a été conclue en Suisse et se rapporte à un bail d'un logement situé en Suisse. Elle crée, par ailleurs, un for international en Suisse, au lieu où la prestation caractéristique du contrat doit être exécutée (art. 113 LDIP), auquel l'Etat intimé ne peut se soustraire. Il s'ensuit que l'Etat intimé ne peut se prévaloir de l'immunité de juridiction pour se soustraire aux tribunaux dans le cadre de la présente cause. Par conséquent, celui-ci n'avait pas à renoncer à son immunité, contrairement à ce qui a été retenu en première instance, pour que soit admise la compétence des tribunaux suisses. La demande en paiement de l'appelante dirigée à l'encontre de l'Etat intimé s'avère dès lors recevable. Le jugement entrepris sera réformé en ce sens.</w:t>
      </w:r>
    </w:p>
    <w:p>
      <w:r>
        <w:rPr>
          <w:b/>
        </w:rPr>
        <w:t>E. 3</w:t>
      </w:r>
    </w:p>
    <w:p>
      <w:r>
        <w:t>Dans la mesure où le Tribunal ne s'est pas prononcé sur le fond de la demande, dont le bien-fondé des créances invoquées qui représente un élément essentiel de la demande, il se justifie de lui renvoyer la cause pour suite d'instruction si celui-ci l'estime opportun et nouvelle décision afin de garantir aux parties un double degré de juridiction (art. 318 al. 1 let. c ch. 2 CPC). Le jugement attaqué sera dès lors annulé et la cause renvoyée au Tribunal pour suite d'instruction éventuelle et nouvelle décision.</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12 avril 2024 par A______ SA contre le jugement JTBL/349/2024 rendu le 21 mars 2024 par le Tribunal des baux et loyers dans la cause C/17150/2023. Au fond : Annule les chiffres 2 et 3 du dispositif de ce jugement. Déclare la requête formée le 2 août 2023 par A______ SA contre la REPUBLIQUE DE B______ recevable. Confirme le jugement entrepris pour le surplus. Renvoie la cause au Tribunal pour suite d'instruction éventuelle et nouvelle décision. Dit que la procédure est gratuite. Déboute les parties de toutes autres conclusions d'appel. Siégeant : Madame Sylvie DROIN, présidente; Madame Pauline ERARD, Monsieur Laurent RIEBEN, juges; Madame Sibel UZUN, Monsieur Serge PATEK,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