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C/17095/2020 vom 23. Oktober 2023</w:t>
      </w:r>
    </w:p>
    <w:p>
      <w:r>
        <w:t>GE Cour de justice, 2023-10-23, FR</w:t>
      </w:r>
    </w:p>
    <w:p>
      <w:r>
        <w:rPr>
          <w:b/>
        </w:rPr>
        <w:t xml:space="preserve">Quelle: </w:t>
      </w:r>
      <w:r>
        <w:t>https://mcp.opencaselaw.ch/entscheid/ge_gerichte_C_17095_2020</w:t>
      </w:r>
    </w:p>
    <w:p>
      <w:r>
        <w:t>FR: GE_GERICHTE C/17095/2020 du 23 octobre 2023</w:t>
      </w:r>
    </w:p>
    <w:p>
      <w:r>
        <w:t>IT: GE_GERICHTE C/17095/2020 del 23 ottobre 2023</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La valeur litigieuse est déterminée par les dernières conclusions de première instance (art. 91 al. 1 CPC; Jeandin in Commentaire Romand, Code de procédure civile, 2 e éd., 2019, N 13 ad art. 308 CPC ; arrêt du Tribunal fédéral 4A_594/2012 du 28 février 2013).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pour l'appartement de 4 pièces, charges non comprises, a été fixé en dernier lieu à 19'728 fr. par an. Ainsi, la valeur litigieuse est manifestement supérieure à 10'000 fr., de sorte que la voie de l'appel est ouverte.</w:t>
      </w:r>
    </w:p>
    <w:p>
      <w:r>
        <w:rPr>
          <w:b/>
        </w:rPr>
        <w:t>E. 1.3</w:t>
      </w:r>
    </w:p>
    <w:p>
      <w:r>
        <w:t>Interjeté dans le délai prescrit et selon la forme requise par la loi, l'appel est recevable (art. 130, 131, 311 al. 1 CPC).</w:t>
      </w:r>
    </w:p>
    <w:p>
      <w:r>
        <w:rPr>
          <w:b/>
        </w:rPr>
        <w:t>E. 1.4</w:t>
      </w:r>
    </w:p>
    <w:p>
      <w:r>
        <w:t>L'appel peut être formé pour violation du droit (art. 310 let. a CPC) et constatation inexacte des faits (art. 310 let. b CPC). L'instance d'appel dispose ainsi d'un plein pouvoir d'examen de la cause en fait et en droit (ATF 138 III 374 consid. 4.3.1);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L'intimée allègue un fait nouveau et, tant l'appelant que l'intimée, produisent des pièces nouvelles.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 , N 6 ad art. 317 CPC). En l'espèce, l'intimée allègue avoir appris en août 2022, que sa voisine de palier avait résilié son contrat de bail et produit une pièce nouvelle à cet égard. Ces éléments sont recevables, dans la mesure où ils sont postérieurs à la date à laquelle le Tribunal a gardé la cause à juger, soit le 5 avril 2022. Dans la mesure où ce fait et la pièce produite à cet effet ne sont pas pertinents pour la solution du présent litige, la question peut demeurer ouverte s'agissant des deux pièces produites par l'appelant à l'appui de sa réplique du 31 janvier 2023.</w:t>
      </w:r>
    </w:p>
    <w:p>
      <w:r>
        <w:rPr>
          <w:b/>
        </w:rPr>
        <w:t>E. 3</w:t>
      </w:r>
    </w:p>
    <w:p>
      <w:r>
        <w:t>L'intimée a sollicité l'audition de témoins, et celle de l'intimé.</w:t>
      </w:r>
    </w:p>
    <w:p>
      <w:r>
        <w:rPr>
          <w:b/>
        </w:rPr>
        <w:t>E. 3.1</w:t>
      </w:r>
    </w:p>
    <w:p>
      <w:r>
        <w:t>Toute partie a droit à ce que le Tribunal administre les moyens de preuve adéquats proposés régulièrement et en temps utile aux fins d'établir les faits pertinents et contestés (art. 150 al. 1 et 152 al. 1 CPC). Par moyens de preuve adéquats, il faut comprendre ceux qui sont aptes à forger la conviction du juge sur la réalité d'un fait pertinent, autrement dit dont la démonstration peut avoir une incidence sur l'issue du litige. A cette adéquation objective s'ajoute une adéquation subjective, qui consisterait dans le fait qu'une preuve ne doit être administrée que si le juge n'est pas fondé à penser qu'elle est inutile, par exemple parce qu'il est déjà convaincu de l'existence ou de l'inexistence du fait à prouver. Un tel refus repose sur une appréciation anticipée de la preuve, qui est permise par la jurisprudence dans certaines limites et se rattache au thème plus général de la libre appréciation (Schweizer, Code de procédure civile commenté, 2011, N 8-10 ad art. 152 CPC). Ce principe vaut même lorsque la maxime inquisitoire s'applique (ATF 138 III 374 consid. 4.3.2; 136 I 229 consid. 5.3 et 130 III 734 consid. 2.2.3; ACJC/1227/2017 du 2 octobre 2017 consid. 3.1.1). A teneur de l'art. 316 al. 1 CPC, l'instance d'appel peut ordonner des débats ou statuer sur pièces. Conformément à l'alinéa 3,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et les arrêts cités). L'autorité jouit d'un large pouvoir d'appréciation (arrêts du Tribunal fédéral 5A_11/2014 du 3 juillet 2014 consid. 2.2; 4A_229/2012 du 19 juillet 2012 consid. 4). Lorsque l'affaire est en état d'être tranchée sur la base du dossier constitué et qu'aucune mesure d'instruction supplémentaire n'est nécessaire, l'instance d'appel peut alors « statuer sur pièces », l'affaire étant gardée à juger (Jeandin, op. cit., N 3 ad art. 316 CPC).</w:t>
      </w:r>
    </w:p>
    <w:p>
      <w:r>
        <w:rPr>
          <w:b/>
        </w:rPr>
        <w:t>E. 3.2</w:t>
      </w:r>
    </w:p>
    <w:p>
      <w:r>
        <w:t>En l'espèce, l'intimée, à l'appui de ses requêtes d'audition, ne fait valoir aucune raison pour laquelle ces auditions seraient utiles, ni sur quels faits pertinents. Par conséquent, cette requête sera rejetée dans la mesure où l'affaire est en état d'être jugée.</w:t>
      </w:r>
    </w:p>
    <w:p>
      <w:r>
        <w:rPr>
          <w:b/>
        </w:rPr>
        <w:t>E. 4</w:t>
      </w:r>
    </w:p>
    <w:p>
      <w:r>
        <w:t>Dans un premier grief, l'appelant se plaint d'une constatation inexacte des faits.</w:t>
      </w:r>
    </w:p>
    <w:p>
      <w:r>
        <w:rPr>
          <w:b/>
        </w:rPr>
        <w:t>E. 4.1</w:t>
      </w:r>
    </w:p>
    <w:p>
      <w:r>
        <w:t>La « constatation inexacte des faits » mentionnée à l'art. 310 let. b habilite l'instance supérieure à revoir les faits sans restriction, ce qui découle de la nature ordinaire de la voie de l'appel, en vertu de laquelle le litige se continue pour ainsi dire devant l'instance supérieure (Jeandin, op. cit. , N 6 ad art. 310).</w:t>
      </w:r>
    </w:p>
    <w:p>
      <w:r>
        <w:rPr>
          <w:b/>
        </w:rPr>
        <w:t>E. 4.2</w:t>
      </w:r>
    </w:p>
    <w:p>
      <w:r>
        <w:t>S'agissant tout d'abord de la constatation par le Tribunal que le logement est un « duplex », l'appelant estime que l'autorité précédente a erré, alors qu'elle disposait des plans de l'appartement et était dès lors en mesure de constater qu'il s'agissait en réalité d'un triplex. Il s'agit toutefois d'un détail irrelevant pour l'issue du litige, dans la mesure où la composition de l'appartement – sur deux ou trois étages – n'a jamais été invoquée par l'appelant. Par ailleurs, ce dernier se réfère également à l'appartement litigieux en employant le terme « duplex » dans ses écritures. L'appelant soutient ensuite que le Tribunal n'aurait pas tenu compte de la proximité géographique du logement litigieux avec ceux de la grand-mère et de la tante de C______. Ce point a été mentionné dans le jugement querellé. Par ailleurs, dans son évaluation de la « situation géographique » des appartements qui s'étaient libérés ou qui allaient l'être, le Tribunal a estimé que ceux-ci étaient au moins équivalents à l'appartement litigieux. Finalement, concernant les logements qui allaient se libérer, l'appelant allègue que sept d'entre eux présentaient un nombre de pièces inférieur à celui de l'intimée. Il n'en demeure pas moins que cinq logements disposaient d'un nombre de pièces suffisant dans l'esprit de l'appelant, et que l'un d'entre eux était construit en duplex. La motivation de l'appelant mène à une conclusion tout à fait différente que celle à laquelle il parvient, puisqu'il existait ainsi des logements comparables également quant au nombre de pièces qui auraient pu convenir à C______. Par ailleurs, il sera fait référence à l'audition de D______ qui a relevé que deux logements de 4 pièces s'étaient libérés après le congé litigieux dans le même immeuble. Compte tenu de ce qui précède, le grief est infondé.</w:t>
      </w:r>
    </w:p>
    <w:p>
      <w:r>
        <w:rPr>
          <w:b/>
        </w:rPr>
        <w:t>E. 5</w:t>
      </w:r>
    </w:p>
    <w:p>
      <w:r>
        <w:t>Dans un second grief, l'appelant reproche au Tribunal d'avoir violé le droit, en tant que ce dernier a annulé le congé notifié le 27 juillet 2020 au motif qu'il serait contraire aux règles de la bonne foi. Selon le Tribunal, l'intérêt légitime invoqué a été affaibli car l'appelant avait tardé à communiquer le motif fondant le congé et aucun besoin concret de disposer de l'appartement litigieux – et pas d'un autre – n'avait été établi. 5.1.1 Lorsque le bail est de durée indéterminée, chaque partie est en principe libre de résilier le contrat pour la prochaine échéance convenue en respectant le délai de congé prévu (cf. art. 266a al. 1 CO; ATF 140 III 496 consid. 4.1; 138 III 59 consid. 2.1). La résiliation ordinaire du bail ne suppose donc pas l'existence d'un motif de résiliation particulier (art. 266a al. 1 CO), et ce même si elle entraîne des conséquences pénibles pour le locataire (ATF 141 III 496 consid. 4.1; 138 III 59 consid. 2.1). 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Le congé ordinaire donné par le bailleur pour pouvoir occuper lui-même l'habitation ou les locaux commerciaux n'est donc annulable que s'il se révèle incompatible avec les règles de la bonne foi au sens des art. 271 s. CO (arrêts du Tribunal fédéral 4A_198/2016 du 7 octobre 2016 consid. 4.3 et 4A_18/2016 du 26 août 2016 consid. 3.3). 5.1.2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 arrêt du Tribunal fédéral 4C.170/2004 précité).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(ATF 136 III 190 consid. 2; 132 III 737 consid. 3.4.2; arrêts du Tribunal fédéral 4A_414/2009 du 9 décembre 2009 consid. 3.1 et 4A_322/2007 du 12 novembre 2007 consid. 6; ACJC/1292/2008 du 3 novembre 2008; Lachat, in Commentaire Romand du code des obligations I, N 6 ad art. 271). Le congé doit être considéré comme abusif s'il ne répond à aucun intérêt objectif, sérieux et digne de protection. Est abusif le congé purement chicanier dont le motif n'est manifestement qu'un prétexte (ATF 135 III 112 consid. 4.1; 120 II 31 consid. 4a; arrêts du Tribunal fédéral 4A_735/2011 du 16 janvier 2012 consid. 2.2 et 4C_411/2006 ). La résiliation motivée par le souhait du propriétaire d'occuper personnellement les locaux qu'il vient d'acquérir ne saurait être constitutif d'abus de droit. Qui plus est, le bailleur n'a pas besoin de se prévaloir d'un besoin particulier de disposer de la chose louée étant considéré qu'il peut n'avoir pour objectif que de remettre les locaux à un autre locataire de son choix, au même loyer ou à un loyer supérieur mais non abusif. Le besoin concret du bailleur n'entre en considération que pour accorder une prolongation de bail ou pour permettre certains types de résiliation ( ACJC/256/2006 du 06.03.2006 K. c/ P.). Selon la jurisprudence du Tribunal fédéral, la résiliation motivée par le besoin des proches parents du bailleur d'occuper eux-mêmes l'appartement loué n'est pas contraire aux règles de la bonne foi (arrêts du Tribunal fédéral 4A_538/2008 consid. 4.1; 4C.411/2006 consid. 2.1; 4C.333/1997 consid. 3b et les références citées). Le besoin à prendre en considération est celui du bailleur pour lui-même ou pour ses proches parents ou allié. Ces derniers sont le conjoint, le partenaire enregistré, le concubin, les enfants et autres descendants, les frères et sœurs, ainsi que leur conjoint (Higi, Commentaire zurichois, N 200-203 ad art. 271a CO). Le besoin invoqué doit être sérieux, concret et actuel. Un besoin futur et hypothétique n'est pas suffisant (ATF 118 II 50 consid. 3C et les références aux travaux parlementaires; MP 1989 p. 77). Un congé ne saurait être annulé du seul fait que le motif invoqué constituerait un prétexte. Pour se prononcer sur la base des art. 271 et 271a CO, il convient de ne pas tenir compte de la justification avancée par l'auteur de la résiliation, mais de ses mobiles réels, qui devront être déterminés à la lumière des indices révélés par l'instruction de la cause ( ACJC/1005/2009 du 07.09.2009 L. c/ S. consid. 2.2; ACJC/237/1992 du 18.09.1992 B. c/ SI X. et ACJC/287/1992 du 20 novembre 1992 T. c/ SI X). Ainsi, une résiliation intervenue en vue de l'exécution de travaux de rénovation puis d'une relocation à un loyer plus élevé, ou en vue de la vente de l'immeuble et compte tenu du fait que des travaux de rénovation étaient nécessaires, n'a pas été jugée contraire aux règles de la bonne foi ( ACJC/216/2001 du 12 mars 2001 P. c/ S. et F.). 5.1.3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Le caractère abusif ou non de la résiliation s'apprécie au moment où l'auteur du congé manifeste sa volonté de mettre un terme au contrat. Le motif avancé pour résilier le bail ne peut ainsi pas devenir contraire aux règles de la bonne foi parce qu'il cesserait d'exister par la suite (arrêt du Tribunal fédéral non publié 4C.176/2004 consid. 2.1 avec les références citées¸ DB 2006 p. 42; Lachat, op. cit. , N 12 ad art. 271 CO). Lorsqu'il doit déterminer le motif réel d'un congé, le juge doit procéder à une appréciation de toutes les preuves qui lui sont apportées. Des faits postérieurs au congé peuvent éclairer la volonté du bailleur au moment où il a résilié le bail. Il n'existe aucun principe juridique qui interdirait de prendre en compte des faits postérieurs en vue de reconstituer ce que devait être la volonté réelle au moment déterminant (arrêts du Tribunal fédéral 4A_241/2010 du 10 août 2010 consid. 2.1.6 et 4A_518/2010 du 16 décembre 2010 consid. 2.4.1; ATF 133 III 61 consid. 2.2.1 et les arrêts cités). 5.1.4 La partie qui demande l'annulation du congé doit rendre à tout le moins vraisemblable la mauvaise foi de la partie adverse. Il n'appartient pas au bailleur de démontrer sa bonne foi car cela reviendrait à renverser le fardeau de la preuve (ATF 135 III 112 consid. 4.1; 120 II 105 consid. 3c; ACJC/334/2002 du 18.03.2002 M. c/ R.). Le devoir de motiver le congé prévu à l'art. 271 al. 2 CO n'a de sens que dans la mesure où la réalité du motif invoqué peut être vérifiée. Pour pouvoir constater un abus de droit, il faut connaître les motifs pour lesquels le droit a été exercé. De là découle que le Tribunal a l'obligation de vérifier le contenu de la motivation du congé (MP/93 p. 28 et ACJC/1470/1995 du 20.11.1995 M. c/ SI X). La motivation doit être donnée dans le respect des règles de la bonne foi. En particulier – cela va de soi – les motifs doivent être vrais (ATF non publié du 18.03.1992 in MP 1993 p. 28 consid. 4). La doctrine et la jurisprudence admettent ainsi que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arrêt du Tribunal fédéral 4A_64/2010 du 29 avril 2010 consid. 2.3; Higi, op. cit. , N 115 ad art. 271 CO; Weber, Commentaire bâlois, Obligationentrecht I, 4 e éd. 2007, N 33 ad art. 271/271a CO; Lachat, op. cit. , N 11 ad art. 271; Corboz, Les congés affectés d'un vice, in</w:t>
      </w:r>
    </w:p>
    <w:p>
      <w:r>
        <w:rPr>
          <w:b/>
        </w:rPr>
        <w:t>E. 9</w:t>
      </w:r>
    </w:p>
    <w:p>
      <w:r>
        <w:t>ème Séminaire sur le droit du bail, 1996, page 22; Roncoroni, Le nouveau droit du bail à loyer, in 6ème Séminaire sur le droit du bail, 1990, pages 9 ss). 5.2.1 Dans le cas d'espèce, le congé adressé à l'intimée le 27 juillet 2020, pour le 31 mai 2021, ne donnait pas le motif fondant la résiliation du bail. Suite à la demande de motivation de congé adressée par l'intimée par courrier du 5 août 2020, l'appelant a refusé de communiquer ce motif. A ce sujet, il a prétendu qu'il souhaitait communiquer le motif du congé de manière informelle, par l'intermédiaire de son épouse, soit la sœur de l'intimée. Il a par ailleurs relevé dans son écriture du 2 septembre 2022 que les relations familiales étaient tendues. Compte tenu de ce qui précède, le motif de congé a été communiqué à l'intimée de manière tardive, soit dans le corps de l'écriture de réponse à la demande de l'appelant, en date du 4 mars 2021, c'est-à-dire huit mois après la notification du congé litigieux, réduisant d'autant l'intensité de l'intérêt légitime du motif invoqué. 5.2.2 S'agissant du motif de congé en lui-même et comme rappelé ci-avant, il incombe à l'intimée de démontrer que la résiliation contrevient aux règles de la bonne foi, l'appelant devant, pour sa part, contribuer loyalement à la manifestation de la vérité. Ce dernier a invoqué le souhait d'installer sa fille dans le logement de l'intimée, raison pour laquelle le bail avait été résilié pour son échéance. A cet égard, s'il est vrai que le motif du congé n'a pas varié, le besoin de C______ de pouvoir emménager exclusivement dans le logement litigieux n'emporte pas la conviction de la Cour. En effet, l'appelant a tout d'abord évoqué le souhait de sa fille d'emménager avec son ami, ce qui est devenu de plus en plus vague durant la procédure. L'appelant, tout comme sa fille, se sont toujours référés à cette possibilité comme une simple éventualité. Même si la communication de l'identité d'un colocataire ne peut être déterminante, le principe même d'une colocation paraît en l'espèce hypothétique. Concernant le besoin de C______ d'emménager dans le logement litigieux, il est apparu que des logements comparables à l'appartement litigieux s'étaient libérés ou allaient l'être dans un avenir proche. En effet, le témoin D______ a déclaré lors de son audition que deux logements s'étaient libérés dans le même immeuble après la notification du congé litigieux. Ces logements de quatre pièces n'avaient pas été proposés à l'intimée, au motif que leur surface ne convenait pas à une personne seule. Il a par ailleurs été précisé que ces appartements convenaient davantage à deux personnes. Ces logements n'avaient pas non plus été proposés à C______ au motif que leur configuration ne correspondait pas aux souhaits de cette dernière. Cependant, le critère de la configuration de l'appartement a uniquement été évoqué par l'appelant à l'audience du 28 mai 2021. La configuration de l'appartement – soit un triplex – n'est dès lors pas déterminante. De plus, la configuration prétendument souhaitée, était en lien avec la présence de l'ami de C______ ou d'un colocataire, dont il a été retenu qu'elle n'était pas établie. Vu ce qui précède, l'argument de l'appelant invoqué lors de l'audience précitée – faisant suite à l'audition du témoin D______ – et consistant à soutenir qu'il s'agissait de deux résiliations hors délai pour lesquelles les locataires sortants ont été présentés, constitue un prétexte. Ainsi, l'intérêt légitime de l'appelant de mettre le logement litigieux à disposition de sa fille n'a pas été démontré. En effet, deux logements de 4 pièces se sont libérés dans le même immeuble. Ceux-ci correspondaient aux critères de recherche de C______, soit la proximité de E______ et de sa famille. Si le projet de colocation était par hypothèse réel, les deux appartements précités auraient pu être proposés à C______. Partant, il n'a pas été démontré l'existence d'un besoin objectif, sérieux et digne de protection de l'appelant de disposer exclusivement de l'appartement litigieux afin d'y loger sa fille. Par ailleurs, compte tenu de la durée de la procédure, il ne peut pas non plus être considéré que le besoin de C______ d'emménager dans l'appartement litigieux serait urgent et actuel. 5.2.3 Ainsi, l'intérêt invoqué par l'appelant n'est dès lors pas digne de protection et consacre une disproportion grossière des intérêts en présence. Il n'est partant pas légitime. Par conséquent, le congé est contraire aux règles de la bonne foi et c'est à bon droit que le Tribunal l'a annulé. Le jugement entrepris sera ainsi confirmé. 6. En application de l'art. 22 al. 1 LaCC, il ne sera pas perçu de frais judiciaires et il ne sera pas alloué de dépens. * * * * * PAR CES MOTIFS, La Chambre des baux et loyers : A la forme : Déclare recevable l'appel interjeté le 11 novembre 2022 par A______ contre le jugement JTBL/734/2022 du 7 octobre 2022 par le Tribunal des baux et loyers dans la cause C/17095/2020. Au fond : Confirme ce jugement. Dit que la procédure est gratuite. Déboute les parties de toutes autres conclusions. Siégeant : Madame Sylvie DROIN, présidente; Madame Pauline ERARD et Madame Fabienne GEISINGER-MARIETHOZ, juges; Madame Zoé SEILER et Monsieur Serge PATEK, juges assesseurs; Madame Maïté VALENTE, greffière. La présidente : Sylvie DROIN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