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C/17043/2021 vom 5. Juni 2023</w:t>
      </w:r>
    </w:p>
    <w:p>
      <w:r>
        <w:t>GE Cour de justice, 2023-06-05, FR</w:t>
      </w:r>
    </w:p>
    <w:p>
      <w:r>
        <w:rPr>
          <w:b/>
        </w:rPr>
        <w:t xml:space="preserve">Quelle: </w:t>
      </w:r>
      <w:r>
        <w:t>https://mcp.opencaselaw.ch/entscheid/ge_gerichte_C_17043_2021</w:t>
      </w:r>
    </w:p>
    <w:p>
      <w:r>
        <w:t>FR: GE_GERICHTE C/17043/2021 du 5 juin 2023</w:t>
      </w:r>
    </w:p>
    <w:p>
      <w:r>
        <w:t>IT: GE_GERICHTE C/17043/2021 del 5 giugno 2023</w:t>
      </w:r>
    </w:p>
    <w:p>
      <w:pPr>
        <w:pStyle w:val="Heading2"/>
      </w:pPr>
      <w:r>
        <w:t>Regeste</w:t>
      </w:r>
    </w:p>
    <w:p>
      <w:r>
        <w:t>CPC.149</w:t>
      </w:r>
    </w:p>
    <w:p>
      <w:pPr>
        <w:pStyle w:val="Heading2"/>
      </w:pPr>
      <w:r>
        <w:t>Erwägungen</w:t>
      </w:r>
    </w:p>
    <w:p>
      <w:r>
        <w:rPr>
          <w:b/>
        </w:rPr>
        <w:t>E. 1.1</w:t>
      </w:r>
    </w:p>
    <w:p>
      <w:r>
        <w:t>Selon l'art. 149 CPC, lorsque le tribunal est saisi d'une demande de restitution, il donne à la partie adverse l'occasion de s'exprimer et statue définitivement sur la restitution.![endif]&gt;![if&gt; Le Tribunal fédéral a jugé que, contrairement au texte de l'art. 149 CPC, l'exclusion de toute voie de droit n'était pas opposable à la partie requérante, dans le contexte particulier où le refus de restitution entraîne la perte définitive des moyens d'annulation du congé. De plus, dans ce cas, ledit refus constitue une décision finale, contre laquelle la voie de l'appel ou de recours est ouverte, devant la seconde instance cantonale (ATF 139 III 478 consid. 6.3 et consid. 7.3 non publié).</w:t>
      </w:r>
    </w:p>
    <w:p>
      <w:r>
        <w:rPr>
          <w:b/>
        </w:rPr>
        <w:t>E. 1.2</w:t>
      </w:r>
    </w:p>
    <w:p>
      <w:r>
        <w:t>Dans les affaires patrimoniales, l'appel est recevable si la valeur litigieuse au dernier état des conclusions est de 10'000 fr. au moins (art. 308 al. 2 CPC). Les contestations portant sur l'usage d'une chose louée sont de nature pécuniaire (arrêt du Tribunal fédéral 4A_388/2016 du 15 mars 2017 consid. 1; 4A_72/2007 du 22 août 2007 consid. 2).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w:t>
      </w:r>
    </w:p>
    <w:p>
      <w:r>
        <w:rPr>
          <w:b/>
        </w:rPr>
        <w:t>E. 1.3</w:t>
      </w:r>
    </w:p>
    <w:p>
      <w:r>
        <w:t>La conversion des actes de recours erronés se résout, selon l'origine de l'erreur du choix de la voie de droit, à l'aune du principe de la bonne foi (art. 5 al. 3 Cst.) ou de celui de l'interdiction du formalisme excessif (art. 29 al. 1 Cst.) qui poursuit dans tous les cas les mêmes buts que le premier en tant qu'il sanctionne un comportement abusif (arrêt du Tribunal fédéral 5A_385/2019 du 8 mai 2020 consid. 4.1.3, publié in FamPra.ch 2020 p. 843 et SJ 2020 I p. 345). En application de ces principes, l'autorité de recours traite le recours irrecevable comme un recours d'un autre type s'il en remplit les conditions. Lorsque l'erreur est le résultat d'un choix délibéré d'une partie représentée par un avocat, on retient qu'il n'y a pas de formalisme excessif à refuser la conversion de l'acte en raison de l'erreur grossière (arrêt du Tribunal fédéral 5A_221/2018 du 4 juin 2018 consid. 3.3.2, publié in RSPC 2018 p. 408 n° 2148). A l'inverse, la tendance est de considérer contraire à l'interdiction du formalisme excessif le refus de la conversion alors que le choix du moyen de droit recevable présente des difficultés et n'est pas facilement reconnaissable (ATF 113 Ia 84 consid. 3b; arrêt du Tribunal fédéral 5A_112/2010 du 4 juin 2010 consid. 3.3). En d'autres termes, on admet la conversion si les conditions de recevabilité de la voie de droit correcte sont réunies, si l'acte peut être converti dans son entier, si la conversion ne porte pas atteinte aux droits de la partie adverse et si l'erreur ne résulte pas d'un choix délibéré de la partie représentée par un avocat de ne pas suivre la voie de droit mentionnée au pied de la décision de première instance ou d'une erreur grossière (arrêt du Tribunal fédéral 5A_46/2020 du 17 novembre 2020 consid. 4.1).</w:t>
      </w:r>
    </w:p>
    <w:p>
      <w:r>
        <w:rPr>
          <w:b/>
        </w:rPr>
        <w:t>E. 1.4</w:t>
      </w:r>
    </w:p>
    <w:p>
      <w:r>
        <w:t>Les conclusions doivent être formulées de sorte à pouvoir être reprises sans modification dans le dispositif (ATF 137 III 617 consid. 4.3 et 4.5).</w:t>
      </w:r>
    </w:p>
    <w:p>
      <w:r>
        <w:rPr>
          <w:b/>
        </w:rPr>
        <w:t>E. 1.5</w:t>
      </w:r>
    </w:p>
    <w:p>
      <w:r>
        <w:t>En l'espèce, au vu du montant du loyer de l'objet loué, et s'agissant d'une procédure en contestation d'un congé, la valeur litigieuse est supérieure à 10'000 fr., de sorte que la voie de l'appel est ouverte, comme le mentionne au demeurant correctement la décision attaquée. La Cour est saisie d'un recours au sens de l'art. 319 CPC, sans que l'acte n'expose pour quelle raison cette voie de droit a été privilégiée par sa signataire, avocate. Les explications ultérieurement fournies, dans le cadre de la réplique, selon lesquelles la valeur litigieuse n'importerait pas dans le cadre d'une procédure de conciliation, outre qu'elles suscitent pour le moins la perplexité ne serait-ce que sous l'angle des art. 210 et 212 CPC qui font expresse mention de cette notion juridique, ne permettent pas d'écarter que le recours ait été formé délibérément ou par erreur, en lieu et place de l'appel. Les conditions de la conversion ne sont donc pas réunies. A cela s'ajoute qu'aux termes de sa réplique, le recourant n'a pris aucune conclusion qui permettrait de statuer sur le fond, ayant inexplicablement abandonné sa conclusion principale initiale en admission de la requête de restitution de délai. Au vu de ce qui précède, le recours n'est pas recevable.</w:t>
      </w:r>
    </w:p>
    <w:p>
      <w:r>
        <w:rPr>
          <w:b/>
        </w:rPr>
        <w:t>E. 2</w:t>
      </w:r>
    </w:p>
    <w:p>
      <w:r>
        <w:t>Il sera encore observé qu'en tout état, à supposer que l'acte dont la Cour est saisie ait été recevable, il n'aurait pas été fondé.![endif]&gt;![if&gt; En effet,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 du Tribunal fédéral 4A_617/2020 du 21 janvier 2021 consid. 3.1). Le respect des délais - et partant la tenue de l'agenda - fait partie des devoirs élémentaires de l'avocat, lequel est censé non seulement instruire mais également contrôler la manière dont ses collaborateurs tiennent l'agenda. De manière générale, une défaillance dans l'organisation interne de l'avocat (problèmes informatiques, auxiliaire en charge du recours, absence du mandataire principal) ne constitue pas un empêchement non fautif justifiant une restitution du délai (ATF 143 I 284 consid. 1.3). Une partie doit se laisser imputer la faute de son représentant (ATF 119 II 86 consid. 2; arrêt du Tribunal fédéral 4A_52/2019 consid. 3.1). Il importe donc peu que le retard soit imputable au plaideur ou à son avocat (arrêt précité, ibidem). En l'occurrence, contrairement à ce que soutient le recourant, le manquement intervenu, à savoir reporter ou faire reporter erronément dans un agenda d'étude d'avocat une heure de convocation à une audience, est constitutif d'une faute qui n'est pas légère, et qui exclut toute restitution de délai. Cette faute, commise par l'avocate constituée ou ses collaborateurs qu'elle devait instruire et surveiller, est imputable au recourant, même s'il apparaissait qu'il n'a pas personnellement commis d'erreur.</w:t>
      </w:r>
    </w:p>
    <w:p>
      <w:r>
        <w:rPr>
          <w:b/>
        </w:rPr>
        <w:t>E. 3</w:t>
      </w:r>
    </w:p>
    <w:p>
      <w:r>
        <w:t>A teneur de l'art. 22 al. 1 LaCC, il n'est pas prélevé de frais dans les causes soumises à la juridiction des baux et loyers (ATF 139 III 182 consid. 2.6). * * * * * PAR CES MOTIFS, La Chambre des baux et loyers : Déclare irrecevable le recours formé le 5 octobre 2022 par A______ contre la décision JCBL/20/2022 rendue le 25 juillet 2022 par la Commission de conciliation en matière de baux et loyers dans la cause C/17043/2021. Dit que la procédure est gratuite. Siégeant : Madame Nathalie LANDRY-BARTHE, présidente; Madame Sylvie DROIN et Monsieur Laurent RIEBEN, juges; Monsieur Jean-Philippe ANTHONIOZ et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