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C/16958/2012 vom 25. Mai 2016</w:t>
      </w:r>
    </w:p>
    <w:p>
      <w:r>
        <w:t>GE Cour de justice, 2016-05-25, FR</w:t>
      </w:r>
    </w:p>
    <w:p>
      <w:r>
        <w:rPr>
          <w:b/>
        </w:rPr>
        <w:t xml:space="preserve">Quelle: </w:t>
      </w:r>
      <w:r>
        <w:t>https://mcp.opencaselaw.ch/entscheid/ge_gerichte_C_16958_2012</w:t>
      </w:r>
    </w:p>
    <w:p>
      <w:r>
        <w:t>FR: GE_GERICHTE C/16958/2012 du 25 mai 2016</w:t>
      </w:r>
    </w:p>
    <w:p>
      <w:r>
        <w:t>IT: GE_GERICHTE C/16958/2012 del 25 maggio 2016</w:t>
      </w:r>
    </w:p>
    <w:p>
      <w:pPr>
        <w:pStyle w:val="Heading2"/>
      </w:pPr>
      <w:r>
        <w:t>Regeste</w:t>
      </w:r>
    </w:p>
    <w:p>
      <w:r>
        <w:t>RETRAIT DU DROIT DE DÉTERMINER LE LIEU DE RÉSIDENCE ; PLACEMENT D'ENFANTS DANS UNE INSTITUTION ; VISITE | CC.310.1:CC.313.1</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la mère de l'enfant, qui dispose de la qualité pour recourir (art. 450 al. 2 ch. 1 CC; art. 35 let. b LaCC), à l'encontre d'une décision rendue par le Tribunal de protection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2.1.2 Lors de faits nouveaux, les mesures prises pour protéger l'enfant doivent être adaptées à la nouvelle situation (art. 313 al. 1 CC). Il appartient ainsi à l'autorité d'adapter la protection (en la réduisant ou en l'augmentant) en fonction des besoins (forcément évolutifs) des enfants à protéger. Ainsi, si une mesure ne s'avère plus nécessaires dans sa forme actuelle, elle doit être annulée ou remplacée par une mesure moins sévère (de luze/page/stoudmann, Droit de la famille, 2013, p. 565 ad art. 313 CC). La modification des circonstances ne peut en outre être établie qu'en prenant en compte les circonstances qui étaient à l'origine de la mesure (ATF 120 II 384 4d).</w:t>
      </w:r>
    </w:p>
    <w:p>
      <w:r>
        <w:rPr>
          <w:b/>
        </w:rPr>
        <w:t>E. 2.2</w:t>
      </w:r>
    </w:p>
    <w:p>
      <w:r>
        <w:t>Dans le cas d'espèce, le Tribunal de protection a retiré la garde de C______ à sa mère et a ordonné son placement par décision du 18 décembre 2013, alors que l'enfant n'avait pas encore atteint l'âge de deux ans. Cette décision était motivée par les troubles psychiatriques de A______, qui la rendaient incapable de s'occuper de sa fille de manière adéquate et faisait suite au prononcé d'une clause-péril, la recourante ayant laissé la mineure à sa mère, laquelle était également dans l'impossibilité de s'en occuper. C______ a tout d'abord été placée au sein du Département de pédiatrie, puis au Foyer E______ et enfin dans la famille d'accueil au sein de laquelle elle réside toujours actuellement. Il convient dès lors de déterminer si la situation, telle que résumée ci-dessus, s'est modifiée au point que la garde de C______ puisse être restituée à sa mère et la mesure de placement levée. La recourante ne saurait raisonnablement contester souffrir de troubles psychiatriques, quand bien même elle tente d'en minimiser la gravité et l'impact qu'ils ont pu avoir sur sa capacité à s'occuper de sa fille de manière adéquate. Il résulte de la procédure qu'elle a fait l'objet, entre 2008 et 2013, de plusieurs hospitalisations en milieu psychiatrique, motivées par des décompensations parfois liées à des événements anodins tels une dispute avec un proche et ayant induit les comportements décrits dans l'expertise du 23 juillet 2015, soit notamment de l'agitation psychomotrice, de l'agressivité et un discours délirant. Bien que l'expert n'ait pas été en mesure d'établir un diagnostic précis, il a formulé l'hypothèse d'un trouble bipolaire ou celle d'une personnalité borderline avec décompensations psychotiques dans des contextes de stress important. Depuis la décision de retrait de garde de décembre 2013, la situation de la recourante a certes évolué de manière favorable. Elle est en effet régulièrement suivie par le Dr L______ depuis le mois de septembre 2015 et son état psychique s'est stabilisé. Elle vit avec un compagnon, dont la présence constitue, aux dires du Service de protection des mineurs, "un soutien logistique, affectif et moral pour sa compagne". Le couple a par ailleurs donné naissance à une fille au mois de janvier 2016, pour laquelle il n'a pas été nécessaire de prononcer une mesure de protection, ce qui permet de considérer que la recourante est capable de s'en occuper correctement. Le Service de protection des mineurs et le Tribunal de protection ont tenu compte de cette amélioration en élargissant progressivement le droit de visite dont bénéficie la recourante, qui est passé de quelques heures par quinzaine en milieu protégé à un week-end sur deux, du vendredi au dimanche, auquel s'ajoute une journée par semaine. La recourante a également pu prendre sa fille pendant une semaine consécutive, nuits comprises, durant les dernières vacances de Pâques. Cet élargissement progressif du droit de visite permet de s'assurer que A______ est en mesure de supporter la charge de deux enfants en bas âge, sans réactivation de ses troubles psychologiques, de consolider davantage sa situation tant médicale que personnelle, laquelle demeure floue en l'état (projets éventuels d'installation au Maroc) et de prévoir, pour C______, une transition en douceur entre le milieu de la famille d'accueil et le foyer de sa mère. Conformément au dispositif de la décision attaquée, il appartient en outre à la recourante d'entreprendre un suivi de guidance parentale, dont elle n'a pas contesté la nécessité, qui devrait lui permettre de mieux appréhender les besoins de C______. Bien que cette dernière ait montré de grandes capacités d'adaptation, l'expert a indiqué qu'elle présente un trouble de l'attachement, ce qui atteste d'une souffrance psychique, laquelle s'est notamment manifestée par de l'agressivité et des troubles du sommeil. Elle a besoin, toujours selon l'expert, d'un environnement lui permettant d'investir une figure d'attachement stable. Compte tenu de ce qui précède, il convient d'éviter que le retour définitif de C______ au domicile de sa mère ne soit prématuré et ne donne lieu au prononcé de nouvelles mesures de protection, qui impliqueraient d'autres bouleversements dans la vie de l'enfant, au détriment de son bien-être et de son équilibre, déjà lourdement mis à l'épreuve depuis sa naissance. En l'état, la Chambre de surveillance partage par conséquent l'avis du Tribunal de protection, lequel a maintenu le retrait de la garde et du droit de déterminer le lieu de résidence de C______ prononcé à l'égard de la recourante, suivant en cela les conclusions de l'expertise du 23 juillet 2015. Il conviendra de poursuivre, en temps opportun, l'élargissement progressif du droit de visite dont bénéficie A______, dans le but d'envisager, à terme, le retour définitif de l'enfant au domicile de sa mère. Le recours est dès lors infondé sur ce point.</w:t>
      </w:r>
    </w:p>
    <w:p>
      <w:r>
        <w:rPr>
          <w:b/>
        </w:rPr>
        <w:t>E. 3</w:t>
      </w:r>
    </w:p>
    <w:p>
      <w:r>
        <w:t>A titre subsidiaire, la recourante a conclu à ce qu'un droit de visite étendu soit fixé en sa faveur, à raison d'un week-end sur deux du vendredi au dimanche, tous les vendredis, ainsi qu'un autre jour durant la semaine.</w:t>
      </w:r>
    </w:p>
    <w:p>
      <w:r>
        <w:rPr>
          <w:b/>
        </w:rPr>
        <w:t>E. 3.1</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rPr>
          <w:b/>
        </w:rPr>
        <w:t>E. 3.2</w:t>
      </w:r>
    </w:p>
    <w:p>
      <w:r>
        <w:t>Le droit de visite a été fixé dans la décision litigieuse à un week-end sur deux, du vendredi au dimanche et à une journée par semaine, qui correspond actuellement, selon la recourante, au vendredi. Dans sa dernière prise de position, le Service de protection des mineurs a relevé que ces modalités étaient conformes à l'intérêt de C______, puisqu'elles lui permettent à la fois d'investir sa famille d'accueil et d'y avoir ses repères, tout en maintenant un contact régulier avec sa mère. En l'état, aucun élément concret ne justifie d'élargir le droit de visite de la recourante, étant relevé qu'elle doit s'occuper au quotidien d'un bébé de quelques mois seulement et que le rajout d'une journée par semaine contraindrait C______ à faire des allers-retours susceptibles de la déstabiliser, le droit de visite tel qu'exercé actuellement étant par ailleurs déjà plus important que celui préconisé par l'expert. Il appartiendra au Service de protection des mineurs, comme il l'a fait régulièrement depuis le placement de l'enfant, de suggérer, au vu de l'évolution de la situation, une modification des modalités actuelles des relations personnelles entre la recourante et sa fille. Tel a notamment été le cas à Pâques, la recourante ayant alors pu s'occuper de C______ durant une semaine entière. Les conclusions subsidiaires de la recourante seront dès lors également rejetées.</w:t>
      </w:r>
    </w:p>
    <w:p>
      <w:r>
        <w:rPr>
          <w:b/>
        </w:rPr>
        <w:t>E. 4</w:t>
      </w:r>
    </w:p>
    <w:p>
      <w:r>
        <w:t>La procédure de recours est gratuite, dans la mesure où elle concerne principalement des mesures de protection de l'enfant (art. 81 LaCC). Il ne sera pas alloué de dépens (art. 31 al. 1 let. d LaCC; 107 al. 1 let. c CPC). PAR CES MOTIFS, La Chambre de surveillance : A la forme : Déclare recevable le recours formé par A______ le 1 er avril 2016 contre l'ordonnance DTAE/5718/2015 rendue le 9 décembre 2015 par le Tribunal de protection de l'adulte et de l'enfant dans la cause C/16958/2012-8. Au fond : Le rejette. Dit que la procédure est gratuite. Dit qu'il n'est pas alloué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